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931"/>
        <w:tblW w:w="10159" w:type="dxa"/>
        <w:tblLook w:val="01E0" w:firstRow="1" w:lastRow="1" w:firstColumn="1" w:lastColumn="1" w:noHBand="0" w:noVBand="0"/>
      </w:tblPr>
      <w:tblGrid>
        <w:gridCol w:w="9466"/>
        <w:gridCol w:w="693"/>
      </w:tblGrid>
      <w:tr w:rsidR="00DA4818" w:rsidRPr="00DA4818" w:rsidTr="00703DC4">
        <w:tc>
          <w:tcPr>
            <w:tcW w:w="9466" w:type="dxa"/>
          </w:tcPr>
          <w:tbl>
            <w:tblPr>
              <w:tblpPr w:leftFromText="180" w:rightFromText="180" w:vertAnchor="page" w:horzAnchor="margin" w:tblpY="49"/>
              <w:tblOverlap w:val="never"/>
              <w:tblW w:w="9250" w:type="dxa"/>
              <w:tblLook w:val="01E0" w:firstRow="1" w:lastRow="1" w:firstColumn="1" w:lastColumn="1" w:noHBand="0" w:noVBand="0"/>
            </w:tblPr>
            <w:tblGrid>
              <w:gridCol w:w="3168"/>
              <w:gridCol w:w="6082"/>
            </w:tblGrid>
            <w:tr w:rsidR="00DA4818" w:rsidRPr="00DA4818" w:rsidTr="0003203E">
              <w:trPr>
                <w:trHeight w:val="1276"/>
              </w:trPr>
              <w:tc>
                <w:tcPr>
                  <w:tcW w:w="3168" w:type="dxa"/>
                </w:tcPr>
                <w:p w:rsidR="003462BF" w:rsidRPr="00DA4818" w:rsidRDefault="003462BF" w:rsidP="003462BF">
                  <w:pPr>
                    <w:spacing w:before="0" w:line="276" w:lineRule="auto"/>
                    <w:ind w:firstLine="0"/>
                    <w:jc w:val="center"/>
                    <w:rPr>
                      <w:rFonts w:eastAsia="MS Mincho" w:cs="Times New Roman"/>
                      <w:sz w:val="24"/>
                      <w:szCs w:val="24"/>
                    </w:rPr>
                  </w:pPr>
                  <w:r w:rsidRPr="00DA4818">
                    <w:rPr>
                      <w:rFonts w:eastAsia="MS Mincho" w:cs="Times New Roman"/>
                      <w:sz w:val="24"/>
                      <w:szCs w:val="24"/>
                    </w:rPr>
                    <w:t>QUỐC HỘI KHÓA XV</w:t>
                  </w:r>
                </w:p>
                <w:p w:rsidR="003462BF" w:rsidRPr="00DA4818" w:rsidRDefault="003462BF" w:rsidP="003462BF">
                  <w:pPr>
                    <w:spacing w:before="0"/>
                    <w:ind w:firstLine="0"/>
                    <w:jc w:val="center"/>
                    <w:rPr>
                      <w:rFonts w:eastAsia="MS Mincho" w:cs="Times New Roman"/>
                      <w:b/>
                      <w:sz w:val="24"/>
                      <w:szCs w:val="24"/>
                    </w:rPr>
                  </w:pPr>
                  <w:r w:rsidRPr="00DA4818">
                    <w:rPr>
                      <w:rFonts w:eastAsia="MS Mincho" w:cs="Times New Roman"/>
                      <w:b/>
                      <w:sz w:val="24"/>
                      <w:szCs w:val="24"/>
                    </w:rPr>
                    <w:t>ỦY BAN XÃ HỘI</w:t>
                  </w:r>
                </w:p>
                <w:p w:rsidR="003462BF" w:rsidRPr="00DA4818" w:rsidRDefault="003462BF" w:rsidP="003462BF">
                  <w:pPr>
                    <w:spacing w:before="0"/>
                    <w:ind w:firstLine="0"/>
                    <w:rPr>
                      <w:rFonts w:eastAsia="MS Mincho" w:cs="Times New Roman"/>
                      <w:b/>
                      <w:sz w:val="24"/>
                      <w:szCs w:val="24"/>
                    </w:rPr>
                  </w:pPr>
                  <w:r w:rsidRPr="00DA4818">
                    <w:rPr>
                      <w:rFonts w:eastAsia="MS Mincho" w:cs="Times New Roman"/>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513080</wp:posOffset>
                            </wp:positionH>
                            <wp:positionV relativeFrom="paragraph">
                              <wp:posOffset>15875</wp:posOffset>
                            </wp:positionV>
                            <wp:extent cx="838200" cy="0"/>
                            <wp:effectExtent l="13970" t="13335" r="508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D6EEA9A"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1.25pt" to="106.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Hw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"/>
                        </w:pict>
                      </mc:Fallback>
                    </mc:AlternateContent>
                  </w:r>
                </w:p>
                <w:p w:rsidR="003462BF" w:rsidRPr="00DA4818" w:rsidRDefault="003462BF" w:rsidP="00A61E2C">
                  <w:pPr>
                    <w:spacing w:before="0"/>
                    <w:ind w:firstLine="0"/>
                    <w:jc w:val="center"/>
                    <w:rPr>
                      <w:rFonts w:eastAsia="MS Mincho" w:cs="Times New Roman"/>
                      <w:b/>
                      <w:i/>
                      <w:u w:val="single"/>
                    </w:rPr>
                  </w:pPr>
                  <w:r w:rsidRPr="00DA4818">
                    <w:rPr>
                      <w:rFonts w:eastAsia="MS Mincho" w:cs="Times New Roman"/>
                      <w:sz w:val="26"/>
                      <w:szCs w:val="26"/>
                    </w:rPr>
                    <w:t>Số:</w:t>
                  </w:r>
                  <w:r w:rsidR="008659F4" w:rsidRPr="00DA4818">
                    <w:rPr>
                      <w:rFonts w:eastAsia="MS Mincho" w:cs="Times New Roman"/>
                      <w:sz w:val="26"/>
                      <w:szCs w:val="26"/>
                    </w:rPr>
                    <w:t xml:space="preserve"> </w:t>
                  </w:r>
                  <w:r w:rsidR="000D05B5" w:rsidRPr="00DA4818">
                    <w:rPr>
                      <w:rFonts w:eastAsia="MS Mincho" w:cs="Times New Roman"/>
                      <w:sz w:val="26"/>
                      <w:szCs w:val="26"/>
                    </w:rPr>
                    <w:t>3</w:t>
                  </w:r>
                  <w:r w:rsidR="00BB64D5" w:rsidRPr="00DA4818">
                    <w:rPr>
                      <w:rFonts w:eastAsia="MS Mincho" w:cs="Times New Roman"/>
                      <w:sz w:val="26"/>
                      <w:szCs w:val="26"/>
                    </w:rPr>
                    <w:t>102</w:t>
                  </w:r>
                  <w:r w:rsidRPr="00DA4818">
                    <w:rPr>
                      <w:rFonts w:eastAsia="MS Mincho" w:cs="Times New Roman"/>
                      <w:sz w:val="26"/>
                      <w:szCs w:val="26"/>
                    </w:rPr>
                    <w:t>/BC-UBXH15</w:t>
                  </w:r>
                </w:p>
              </w:tc>
              <w:tc>
                <w:tcPr>
                  <w:tcW w:w="6082" w:type="dxa"/>
                </w:tcPr>
                <w:p w:rsidR="003462BF" w:rsidRPr="00DA4818" w:rsidRDefault="003462BF" w:rsidP="003462BF">
                  <w:pPr>
                    <w:spacing w:before="0" w:line="276" w:lineRule="auto"/>
                    <w:ind w:firstLine="0"/>
                    <w:jc w:val="center"/>
                    <w:rPr>
                      <w:rFonts w:eastAsia="MS Mincho" w:cs="Times New Roman"/>
                      <w:b/>
                      <w:sz w:val="24"/>
                      <w:szCs w:val="24"/>
                    </w:rPr>
                  </w:pPr>
                  <w:r w:rsidRPr="00DA4818">
                    <w:rPr>
                      <w:rFonts w:eastAsia="MS Mincho" w:cs="Times New Roman"/>
                      <w:b/>
                      <w:sz w:val="24"/>
                      <w:szCs w:val="24"/>
                    </w:rPr>
                    <w:t>CỘNG HÒA XÃ HỘI CHỦ NGHĨA VIỆT NAM</w:t>
                  </w:r>
                </w:p>
                <w:p w:rsidR="003462BF" w:rsidRPr="00DA4818" w:rsidRDefault="003462BF" w:rsidP="003462BF">
                  <w:pPr>
                    <w:spacing w:before="0" w:line="276" w:lineRule="auto"/>
                    <w:ind w:firstLine="0"/>
                    <w:jc w:val="center"/>
                    <w:rPr>
                      <w:rFonts w:eastAsia="MS Mincho" w:cs="Times New Roman"/>
                      <w:b/>
                      <w:sz w:val="26"/>
                    </w:rPr>
                  </w:pPr>
                  <w:r w:rsidRPr="00DA4818">
                    <w:rPr>
                      <w:rFonts w:eastAsia="MS Mincho" w:cs="Times New Roman"/>
                      <w:noProof/>
                      <w:lang w:val="vi-VN" w:eastAsia="vi-VN"/>
                    </w:rPr>
                    <mc:AlternateContent>
                      <mc:Choice Requires="wps">
                        <w:drawing>
                          <wp:anchor distT="0" distB="0" distL="114300" distR="114300" simplePos="0" relativeHeight="251661312" behindDoc="0" locked="0" layoutInCell="1" allowOverlap="1" wp14:anchorId="1365B3AD" wp14:editId="3FAAC2D3">
                            <wp:simplePos x="0" y="0"/>
                            <wp:positionH relativeFrom="column">
                              <wp:posOffset>821690</wp:posOffset>
                            </wp:positionH>
                            <wp:positionV relativeFrom="paragraph">
                              <wp:posOffset>243840</wp:posOffset>
                            </wp:positionV>
                            <wp:extent cx="2055495" cy="0"/>
                            <wp:effectExtent l="10160" t="8890" r="1079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702141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19.2pt" to="226.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JC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jASJEe&#10;WrT1loh951GtlQIBtUVF0GkwroTwWm1sqJSe1NY8a/rdIaXrjqg9j3xfzwZAspCRvEkJG2fgtt3w&#10;RTOIIQevo2in1vYBEuRAp9ib8703/OQRhcNJWhT5HEjS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"/>
                        </w:pict>
                      </mc:Fallback>
                    </mc:AlternateContent>
                  </w:r>
                  <w:r w:rsidRPr="00DA4818">
                    <w:rPr>
                      <w:rFonts w:eastAsia="MS Mincho" w:cs="Times New Roman"/>
                      <w:b/>
                      <w:sz w:val="26"/>
                    </w:rPr>
                    <w:t>Độc lập – Tự do – Hạnh phúc</w:t>
                  </w:r>
                </w:p>
                <w:p w:rsidR="003462BF" w:rsidRPr="00DA4818" w:rsidRDefault="003462BF" w:rsidP="007408D5">
                  <w:pPr>
                    <w:spacing w:line="276" w:lineRule="auto"/>
                    <w:ind w:firstLine="0"/>
                    <w:jc w:val="left"/>
                    <w:rPr>
                      <w:rFonts w:eastAsia="MS Mincho" w:cs="Times New Roman"/>
                      <w:b/>
                    </w:rPr>
                  </w:pPr>
                  <w:r w:rsidRPr="00DA4818">
                    <w:rPr>
                      <w:rFonts w:eastAsia="MS Mincho" w:cs="Times New Roman"/>
                      <w:i/>
                      <w:szCs w:val="26"/>
                    </w:rPr>
                    <w:t xml:space="preserve">            Hà Nội, </w:t>
                  </w:r>
                  <w:r w:rsidR="00B22CB7" w:rsidRPr="00DA4818">
                    <w:rPr>
                      <w:rFonts w:eastAsia="MS Mincho" w:cs="Times New Roman"/>
                      <w:i/>
                      <w:szCs w:val="26"/>
                    </w:rPr>
                    <w:t xml:space="preserve">ngày 14 </w:t>
                  </w:r>
                  <w:r w:rsidRPr="00DA4818">
                    <w:rPr>
                      <w:rFonts w:eastAsia="MS Mincho" w:cs="Times New Roman"/>
                      <w:i/>
                      <w:szCs w:val="26"/>
                    </w:rPr>
                    <w:t>tháng 11 năm 2024</w:t>
                  </w:r>
                </w:p>
              </w:tc>
            </w:tr>
          </w:tbl>
          <w:p w:rsidR="003462BF" w:rsidRPr="00DA4818" w:rsidRDefault="003462BF" w:rsidP="003462BF">
            <w:pPr>
              <w:spacing w:line="276" w:lineRule="auto"/>
              <w:ind w:left="-115" w:firstLine="0"/>
              <w:jc w:val="center"/>
              <w:rPr>
                <w:rFonts w:eastAsia="MS Mincho" w:cs="Times New Roman"/>
              </w:rPr>
            </w:pPr>
          </w:p>
        </w:tc>
        <w:tc>
          <w:tcPr>
            <w:tcW w:w="693" w:type="dxa"/>
          </w:tcPr>
          <w:p w:rsidR="003462BF" w:rsidRPr="00DA4818" w:rsidRDefault="003462BF" w:rsidP="003462BF">
            <w:pPr>
              <w:spacing w:line="276" w:lineRule="auto"/>
              <w:ind w:firstLine="0"/>
              <w:jc w:val="center"/>
              <w:rPr>
                <w:rFonts w:eastAsia="MS Mincho" w:cs="Times New Roman"/>
                <w:b/>
              </w:rPr>
            </w:pPr>
          </w:p>
        </w:tc>
      </w:tr>
    </w:tbl>
    <w:p w:rsidR="003462BF" w:rsidRPr="00DA4818" w:rsidRDefault="003462BF" w:rsidP="008C2EC0">
      <w:pPr>
        <w:spacing w:before="0"/>
        <w:ind w:firstLine="0"/>
        <w:jc w:val="left"/>
        <w:rPr>
          <w:rFonts w:eastAsia="MS Mincho" w:cs="Times New Roman"/>
          <w:sz w:val="20"/>
        </w:rPr>
      </w:pPr>
    </w:p>
    <w:p w:rsidR="007408D5" w:rsidRPr="00DA4818" w:rsidRDefault="007408D5" w:rsidP="008C2EC0">
      <w:pPr>
        <w:spacing w:before="0"/>
        <w:ind w:firstLine="0"/>
        <w:jc w:val="left"/>
        <w:rPr>
          <w:rFonts w:eastAsia="MS Mincho" w:cs="Times New Roman"/>
          <w:sz w:val="8"/>
        </w:rPr>
      </w:pPr>
    </w:p>
    <w:p w:rsidR="00A61E2C" w:rsidRPr="00DA4818" w:rsidRDefault="00A61E2C" w:rsidP="008C2EC0">
      <w:pPr>
        <w:spacing w:before="0"/>
        <w:ind w:firstLine="0"/>
        <w:jc w:val="left"/>
        <w:rPr>
          <w:rFonts w:eastAsia="MS Mincho" w:cs="Times New Roman"/>
          <w:vanish/>
        </w:rPr>
      </w:pPr>
    </w:p>
    <w:p w:rsidR="003462BF" w:rsidRPr="00DA4818" w:rsidRDefault="003462BF" w:rsidP="008C2EC0">
      <w:pPr>
        <w:spacing w:before="0"/>
        <w:ind w:firstLine="0"/>
        <w:jc w:val="left"/>
        <w:rPr>
          <w:rFonts w:eastAsia="MS Mincho" w:cs="Times New Roman"/>
          <w:vanish/>
        </w:rPr>
      </w:pPr>
    </w:p>
    <w:p w:rsidR="003462BF" w:rsidRPr="00DA4818" w:rsidRDefault="003462BF" w:rsidP="008C2EC0">
      <w:pPr>
        <w:spacing w:before="0"/>
        <w:ind w:firstLine="0"/>
        <w:jc w:val="center"/>
        <w:rPr>
          <w:rFonts w:eastAsia="MS Mincho" w:cs="Times New Roman"/>
          <w:b/>
          <w:bCs/>
          <w:szCs w:val="28"/>
        </w:rPr>
      </w:pPr>
      <w:r w:rsidRPr="00DA4818">
        <w:rPr>
          <w:rFonts w:eastAsia="MS Mincho" w:cs="Times New Roman"/>
          <w:b/>
          <w:bCs/>
          <w:szCs w:val="28"/>
        </w:rPr>
        <w:t>BÁO CÁO</w:t>
      </w:r>
    </w:p>
    <w:p w:rsidR="003462BF" w:rsidRPr="00DA4818" w:rsidRDefault="003462BF" w:rsidP="008C2EC0">
      <w:pPr>
        <w:spacing w:before="0"/>
        <w:ind w:firstLine="0"/>
        <w:jc w:val="center"/>
        <w:rPr>
          <w:rFonts w:eastAsia="MS Mincho" w:cs="Times New Roman"/>
          <w:b/>
          <w:bCs/>
          <w:szCs w:val="28"/>
        </w:rPr>
      </w:pPr>
      <w:r w:rsidRPr="00DA4818">
        <w:rPr>
          <w:rFonts w:eastAsia="MS Mincho" w:cs="Times New Roman"/>
          <w:b/>
          <w:bCs/>
          <w:szCs w:val="28"/>
        </w:rPr>
        <w:t>Dự kiến tiếp thu, giải trình và chỉnh lý một số nội dung lớn</w:t>
      </w:r>
    </w:p>
    <w:p w:rsidR="003462BF" w:rsidRPr="00DA4818" w:rsidRDefault="003462BF" w:rsidP="008C2EC0">
      <w:pPr>
        <w:spacing w:before="0"/>
        <w:ind w:firstLine="0"/>
        <w:jc w:val="center"/>
        <w:rPr>
          <w:rFonts w:eastAsia="MS Mincho" w:cs="Times New Roman"/>
          <w:b/>
          <w:bCs/>
          <w:szCs w:val="28"/>
        </w:rPr>
      </w:pPr>
      <w:r w:rsidRPr="00DA4818">
        <w:rPr>
          <w:rFonts w:eastAsia="MS Mincho" w:cs="Times New Roman"/>
          <w:b/>
          <w:bCs/>
          <w:szCs w:val="28"/>
        </w:rPr>
        <w:t xml:space="preserve">dự thảo Luật </w:t>
      </w:r>
      <w:r w:rsidR="0017222C" w:rsidRPr="00DA4818">
        <w:rPr>
          <w:rFonts w:eastAsia="MS Mincho" w:cs="Times New Roman"/>
          <w:b/>
          <w:bCs/>
          <w:szCs w:val="28"/>
        </w:rPr>
        <w:t xml:space="preserve">sửa đổi, bổ sung một số điều của Luật </w:t>
      </w:r>
      <w:r w:rsidR="00CC4207" w:rsidRPr="00DA4818">
        <w:rPr>
          <w:rFonts w:eastAsia="MS Mincho" w:cs="Times New Roman"/>
          <w:b/>
          <w:bCs/>
          <w:szCs w:val="28"/>
        </w:rPr>
        <w:t>Bảo hiểm y tế</w:t>
      </w:r>
    </w:p>
    <w:p w:rsidR="003462BF" w:rsidRPr="00DA4818" w:rsidRDefault="003462BF" w:rsidP="008C2EC0">
      <w:pPr>
        <w:tabs>
          <w:tab w:val="center" w:pos="4536"/>
        </w:tabs>
        <w:spacing w:before="0"/>
        <w:ind w:firstLine="0"/>
        <w:jc w:val="left"/>
        <w:rPr>
          <w:rFonts w:eastAsia="MS Mincho" w:cs="Times New Roman"/>
          <w:b/>
          <w:sz w:val="20"/>
          <w:szCs w:val="28"/>
        </w:rPr>
      </w:pPr>
      <w:r w:rsidRPr="00DA4818">
        <w:rPr>
          <w:rFonts w:eastAsia="MS Mincho" w:cs="Times New Roman"/>
          <w:b/>
          <w:noProof/>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2475865</wp:posOffset>
                </wp:positionH>
                <wp:positionV relativeFrom="paragraph">
                  <wp:posOffset>19050</wp:posOffset>
                </wp:positionV>
                <wp:extent cx="822960" cy="0"/>
                <wp:effectExtent l="12700" t="5715" r="1206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C9FD1B9" id="_x0000_t32" coordsize="21600,21600" o:spt="32" o:oned="t" path="m,l21600,21600e" filled="f">
                <v:path arrowok="t" fillok="f" o:connecttype="none"/>
                <o:lock v:ext="edit" shapetype="t"/>
              </v:shapetype>
              <v:shape id="Straight Arrow Connector 4" o:spid="_x0000_s1026" type="#_x0000_t32" style="position:absolute;margin-left:194.95pt;margin-top:1.5pt;width:6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O/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"/>
            </w:pict>
          </mc:Fallback>
        </mc:AlternateContent>
      </w:r>
      <w:r w:rsidRPr="00DA4818">
        <w:rPr>
          <w:rFonts w:eastAsia="MS Mincho" w:cs="Times New Roman"/>
          <w:b/>
          <w:szCs w:val="28"/>
        </w:rPr>
        <w:tab/>
      </w:r>
    </w:p>
    <w:p w:rsidR="003462BF" w:rsidRPr="00DA4818" w:rsidRDefault="003462BF" w:rsidP="008C2EC0">
      <w:pPr>
        <w:spacing w:before="0"/>
        <w:ind w:firstLine="0"/>
        <w:jc w:val="center"/>
        <w:rPr>
          <w:rFonts w:eastAsia="MS Mincho" w:cs="Times New Roman"/>
          <w:sz w:val="2"/>
          <w:szCs w:val="28"/>
        </w:rPr>
      </w:pPr>
    </w:p>
    <w:p w:rsidR="007408D5" w:rsidRPr="00DA4818" w:rsidRDefault="007408D5" w:rsidP="008C2EC0">
      <w:pPr>
        <w:spacing w:before="0"/>
        <w:ind w:firstLine="0"/>
        <w:jc w:val="center"/>
        <w:rPr>
          <w:rFonts w:eastAsia="MS Mincho" w:cs="Times New Roman"/>
          <w:sz w:val="10"/>
          <w:szCs w:val="28"/>
        </w:rPr>
      </w:pPr>
    </w:p>
    <w:p w:rsidR="003462BF" w:rsidRPr="00DA4818" w:rsidRDefault="003462BF" w:rsidP="005D022F">
      <w:pPr>
        <w:spacing w:after="120"/>
        <w:ind w:firstLine="0"/>
        <w:jc w:val="center"/>
        <w:rPr>
          <w:rFonts w:eastAsia="MS Mincho" w:cs="Times New Roman"/>
          <w:szCs w:val="28"/>
        </w:rPr>
      </w:pPr>
      <w:r w:rsidRPr="00DA4818">
        <w:rPr>
          <w:rFonts w:eastAsia="MS Mincho" w:cs="Times New Roman"/>
          <w:szCs w:val="28"/>
        </w:rPr>
        <w:t xml:space="preserve">Kính gửi: </w:t>
      </w:r>
      <w:r w:rsidR="003B5830" w:rsidRPr="00DA4818">
        <w:rPr>
          <w:rFonts w:eastAsia="MS Mincho" w:cs="Times New Roman"/>
          <w:szCs w:val="28"/>
        </w:rPr>
        <w:t>Ủy ban Thường vụ</w:t>
      </w:r>
      <w:r w:rsidR="007F690F" w:rsidRPr="00DA4818">
        <w:rPr>
          <w:rFonts w:eastAsia="MS Mincho" w:cs="Times New Roman"/>
          <w:szCs w:val="28"/>
        </w:rPr>
        <w:t xml:space="preserve"> Quốc hội</w:t>
      </w:r>
      <w:r w:rsidRPr="00DA4818">
        <w:rPr>
          <w:rFonts w:eastAsia="MS Mincho" w:cs="Times New Roman"/>
          <w:szCs w:val="28"/>
        </w:rPr>
        <w:t>,</w:t>
      </w:r>
    </w:p>
    <w:p w:rsidR="003462BF" w:rsidRPr="00DA4818" w:rsidRDefault="003462BF" w:rsidP="005D022F">
      <w:pPr>
        <w:tabs>
          <w:tab w:val="center" w:pos="4536"/>
        </w:tabs>
        <w:spacing w:after="120"/>
        <w:ind w:firstLine="0"/>
        <w:jc w:val="left"/>
        <w:rPr>
          <w:rFonts w:eastAsia="MS Mincho" w:cs="Times New Roman"/>
          <w:sz w:val="4"/>
          <w:szCs w:val="28"/>
        </w:rPr>
      </w:pPr>
    </w:p>
    <w:p w:rsidR="00CC4207" w:rsidRPr="00DA4818" w:rsidRDefault="0003203E" w:rsidP="005D022F">
      <w:pPr>
        <w:spacing w:after="120"/>
        <w:ind w:firstLine="0"/>
        <w:rPr>
          <w:rFonts w:eastAsia="MS Mincho" w:cs="Times New Roman"/>
          <w:sz w:val="2"/>
          <w:szCs w:val="28"/>
        </w:rPr>
      </w:pPr>
      <w:r w:rsidRPr="00DA4818">
        <w:rPr>
          <w:rFonts w:eastAsia="MS Mincho" w:cs="Times New Roman"/>
          <w:sz w:val="2"/>
          <w:szCs w:val="28"/>
        </w:rPr>
        <w:t>Ơ</w:t>
      </w:r>
      <w:r w:rsidRPr="00DA4818">
        <w:rPr>
          <w:rFonts w:eastAsia="MS Mincho" w:cs="Times New Roman"/>
          <w:sz w:val="2"/>
          <w:szCs w:val="28"/>
        </w:rPr>
        <w:tab/>
      </w:r>
    </w:p>
    <w:p w:rsidR="0063692C" w:rsidRPr="00DA4818" w:rsidRDefault="00CC4207" w:rsidP="005D022F">
      <w:pPr>
        <w:spacing w:after="120"/>
        <w:rPr>
          <w:rFonts w:eastAsia="Calibri" w:cs="Times New Roman"/>
          <w:szCs w:val="28"/>
          <w:lang w:val="en-GB"/>
        </w:rPr>
      </w:pPr>
      <w:r w:rsidRPr="00DA4818">
        <w:rPr>
          <w:rFonts w:eastAsia="Calibri" w:cs="Times New Roman"/>
          <w:szCs w:val="28"/>
          <w:lang w:val="en-GB"/>
        </w:rPr>
        <w:t>Tại Kỳ họp thứ 8, Quốc hội đã thảo luận, cho ý kiến về dự thảo Luật sửa đổi, bổ sung một số điều của Luật</w:t>
      </w:r>
      <w:r w:rsidR="006C3162" w:rsidRPr="00DA4818">
        <w:rPr>
          <w:rFonts w:eastAsia="Calibri" w:cs="Times New Roman"/>
          <w:szCs w:val="28"/>
          <w:lang w:val="en-GB"/>
        </w:rPr>
        <w:t xml:space="preserve"> Bảo hiểm y tế</w:t>
      </w:r>
      <w:r w:rsidRPr="00DA4818">
        <w:rPr>
          <w:rFonts w:eastAsia="Calibri" w:cs="Times New Roman"/>
          <w:szCs w:val="28"/>
          <w:lang w:val="en-GB"/>
        </w:rPr>
        <w:t xml:space="preserve"> </w:t>
      </w:r>
      <w:r w:rsidRPr="00DA4818">
        <w:rPr>
          <w:rFonts w:eastAsia="Calibri" w:cs="Times New Roman"/>
          <w:i/>
          <w:szCs w:val="28"/>
          <w:lang w:val="en-GB"/>
        </w:rPr>
        <w:t xml:space="preserve">(sau đây viết tắt là dự thảo Luật), </w:t>
      </w:r>
      <w:r w:rsidRPr="00DA4818">
        <w:rPr>
          <w:rFonts w:eastAsia="Calibri" w:cs="Times New Roman"/>
          <w:szCs w:val="28"/>
          <w:lang w:val="en-GB"/>
        </w:rPr>
        <w:t xml:space="preserve">có 137 lượt ý kiến phát biểu tại Tổ, 27 lượt phát biểu ý kiến tại Hội trường và </w:t>
      </w:r>
      <w:r w:rsidR="00D70364" w:rsidRPr="00DA4818">
        <w:rPr>
          <w:rFonts w:eastAsia="Calibri" w:cs="Times New Roman"/>
          <w:bCs/>
          <w:szCs w:val="28"/>
        </w:rPr>
        <w:t xml:space="preserve">05 </w:t>
      </w:r>
      <w:r w:rsidRPr="00DA4818">
        <w:rPr>
          <w:rFonts w:eastAsia="Calibri" w:cs="Times New Roman"/>
          <w:szCs w:val="28"/>
          <w:lang w:val="en-GB"/>
        </w:rPr>
        <w:t xml:space="preserve"> ý kiến bằng văn bản. </w:t>
      </w:r>
    </w:p>
    <w:p w:rsidR="007A5128" w:rsidRPr="00DA4818" w:rsidRDefault="0063692C" w:rsidP="005D022F">
      <w:pPr>
        <w:spacing w:after="120"/>
        <w:rPr>
          <w:rFonts w:eastAsia="Calibri" w:cs="Times New Roman"/>
          <w:szCs w:val="28"/>
        </w:rPr>
      </w:pPr>
      <w:r w:rsidRPr="00DA4818">
        <w:rPr>
          <w:rFonts w:eastAsia="Times New Roman" w:cs="Times New Roman"/>
          <w:bCs/>
          <w:szCs w:val="28"/>
          <w:lang w:eastAsia="x-none"/>
        </w:rPr>
        <w:t xml:space="preserve">Quán triệt chỉ đạo của Đồng chí Tổng Bí thư Tô Lâm và chỉ đạo của Chủ tịch Quốc hội (tại Công thư số 15/CTQH ngày 29/10/2024 và Công thư số 17/CTQH ngày 11/11/2024) về </w:t>
      </w:r>
      <w:r w:rsidR="00D70364" w:rsidRPr="00DA4818">
        <w:rPr>
          <w:rFonts w:eastAsia="Times New Roman" w:cs="Times New Roman"/>
          <w:bCs/>
          <w:szCs w:val="28"/>
          <w:lang w:eastAsia="x-none"/>
        </w:rPr>
        <w:t xml:space="preserve">đổi mới tư duy xây dựng pháp luật, </w:t>
      </w:r>
      <w:r w:rsidRPr="00DA4818">
        <w:rPr>
          <w:rFonts w:eastAsia="Times New Roman" w:cs="Times New Roman"/>
          <w:bCs/>
          <w:szCs w:val="28"/>
          <w:lang w:eastAsia="x-none"/>
        </w:rPr>
        <w:t xml:space="preserve">thực hiện các giải pháp đổi mới trong quá trình tiếp thu, chỉnh lý dự thảo luật, nghị quyết tại Kỳ họp thứ 8; trên cơ sở ý kiến của các vị đại biểu, thực hiện quy định của Luật Ban hành văn bản quy phạm pháp luật, Ủy ban Xã hội đã phối hợp </w:t>
      </w:r>
      <w:r w:rsidR="00D70364" w:rsidRPr="00DA4818">
        <w:rPr>
          <w:rFonts w:eastAsia="Times New Roman" w:cs="Times New Roman"/>
          <w:bCs/>
          <w:szCs w:val="28"/>
          <w:lang w:eastAsia="x-none"/>
        </w:rPr>
        <w:t xml:space="preserve">chặt chẽ </w:t>
      </w:r>
      <w:r w:rsidRPr="00DA4818">
        <w:rPr>
          <w:rFonts w:eastAsia="Times New Roman" w:cs="Times New Roman"/>
          <w:bCs/>
          <w:szCs w:val="28"/>
          <w:lang w:eastAsia="x-none"/>
        </w:rPr>
        <w:t xml:space="preserve">với </w:t>
      </w:r>
      <w:r w:rsidR="00D70364" w:rsidRPr="00DA4818">
        <w:rPr>
          <w:rFonts w:eastAsia="Times New Roman" w:cs="Times New Roman"/>
          <w:bCs/>
          <w:szCs w:val="28"/>
          <w:lang w:eastAsia="x-none"/>
        </w:rPr>
        <w:t xml:space="preserve">Bộ Y tế - </w:t>
      </w:r>
      <w:r w:rsidR="00CC4207" w:rsidRPr="00DA4818">
        <w:rPr>
          <w:rFonts w:eastAsia="Calibri" w:cs="Times New Roman"/>
          <w:szCs w:val="28"/>
        </w:rPr>
        <w:t xml:space="preserve">Cơ quan </w:t>
      </w:r>
      <w:r w:rsidRPr="00DA4818">
        <w:rPr>
          <w:rFonts w:eastAsia="Calibri" w:cs="Times New Roman"/>
          <w:szCs w:val="28"/>
        </w:rPr>
        <w:t xml:space="preserve">chủ trì </w:t>
      </w:r>
      <w:r w:rsidR="00CC4207" w:rsidRPr="00DA4818">
        <w:rPr>
          <w:rFonts w:eastAsia="Calibri" w:cs="Times New Roman"/>
          <w:szCs w:val="28"/>
        </w:rPr>
        <w:t>soạn thảo</w:t>
      </w:r>
      <w:r w:rsidR="00D70364" w:rsidRPr="00DA4818">
        <w:rPr>
          <w:rFonts w:eastAsia="Calibri" w:cs="Times New Roman"/>
          <w:szCs w:val="28"/>
        </w:rPr>
        <w:t xml:space="preserve">, Thường trực Ủy ban Pháp luật </w:t>
      </w:r>
      <w:r w:rsidRPr="00DA4818">
        <w:rPr>
          <w:rFonts w:eastAsia="Calibri" w:cs="Times New Roman"/>
          <w:szCs w:val="28"/>
        </w:rPr>
        <w:t xml:space="preserve"> và các cơ quan liên quan</w:t>
      </w:r>
      <w:r w:rsidR="00CC4207" w:rsidRPr="00DA4818">
        <w:rPr>
          <w:rFonts w:eastAsia="Calibri" w:cs="Times New Roman"/>
          <w:szCs w:val="28"/>
        </w:rPr>
        <w:t xml:space="preserve"> </w:t>
      </w:r>
      <w:r w:rsidR="00D70364" w:rsidRPr="00DA4818">
        <w:rPr>
          <w:rFonts w:eastAsia="Calibri" w:cs="Times New Roman"/>
          <w:szCs w:val="28"/>
        </w:rPr>
        <w:t xml:space="preserve">tiếp thu, </w:t>
      </w:r>
      <w:r w:rsidR="00CC4207" w:rsidRPr="00DA4818">
        <w:rPr>
          <w:rFonts w:eastAsia="Calibri" w:cs="Times New Roman"/>
          <w:szCs w:val="28"/>
        </w:rPr>
        <w:t>chỉnh lý dự thảo Luật</w:t>
      </w:r>
      <w:r w:rsidR="007A5128" w:rsidRPr="00DA4818">
        <w:rPr>
          <w:rFonts w:eastAsia="Calibri" w:cs="Times New Roman"/>
          <w:szCs w:val="28"/>
        </w:rPr>
        <w:t>.</w:t>
      </w:r>
      <w:r w:rsidR="002C32A9" w:rsidRPr="00DA4818">
        <w:rPr>
          <w:rFonts w:eastAsia="Calibri" w:cs="Times New Roman"/>
          <w:szCs w:val="28"/>
        </w:rPr>
        <w:t xml:space="preserve"> </w:t>
      </w:r>
    </w:p>
    <w:p w:rsidR="007A5128" w:rsidRPr="00DA4818" w:rsidRDefault="007A5128" w:rsidP="005D022F">
      <w:pPr>
        <w:widowControl w:val="0"/>
        <w:spacing w:after="120"/>
        <w:ind w:right="-14"/>
        <w:rPr>
          <w:rFonts w:eastAsia="Calibri" w:cs="Times New Roman"/>
          <w:szCs w:val="28"/>
        </w:rPr>
      </w:pPr>
      <w:r w:rsidRPr="00DA4818">
        <w:rPr>
          <w:rFonts w:eastAsia="Calibri" w:cs="Times New Roman"/>
          <w:szCs w:val="28"/>
        </w:rPr>
        <w:t xml:space="preserve">Các cơ quan đã nỗ lực để chính lý </w:t>
      </w:r>
      <w:r w:rsidR="00D70364" w:rsidRPr="00DA4818">
        <w:rPr>
          <w:rFonts w:eastAsia="Calibri" w:cs="Times New Roman"/>
          <w:szCs w:val="28"/>
        </w:rPr>
        <w:t>D</w:t>
      </w:r>
      <w:r w:rsidRPr="00DA4818">
        <w:rPr>
          <w:rFonts w:eastAsia="Calibri" w:cs="Times New Roman"/>
          <w:szCs w:val="28"/>
        </w:rPr>
        <w:t>ự thảo Luật</w:t>
      </w:r>
      <w:r w:rsidR="00D70364" w:rsidRPr="00DA4818">
        <w:rPr>
          <w:rFonts w:eastAsia="Calibri" w:cs="Times New Roman"/>
          <w:szCs w:val="28"/>
        </w:rPr>
        <w:t xml:space="preserve"> </w:t>
      </w:r>
      <w:r w:rsidR="00974C01" w:rsidRPr="00DA4818">
        <w:rPr>
          <w:rFonts w:eastAsia="Calibri" w:cs="Times New Roman"/>
          <w:szCs w:val="28"/>
        </w:rPr>
        <w:t xml:space="preserve"> </w:t>
      </w:r>
      <w:r w:rsidRPr="00DA4818">
        <w:rPr>
          <w:rFonts w:eastAsia="Calibri" w:cs="Times New Roman"/>
          <w:szCs w:val="28"/>
        </w:rPr>
        <w:t xml:space="preserve">theo hướng </w:t>
      </w:r>
      <w:r w:rsidRPr="00DA4818">
        <w:rPr>
          <w:rFonts w:eastAsia="Times New Roman" w:cs="Times New Roman"/>
          <w:bCs/>
          <w:szCs w:val="28"/>
          <w:lang w:eastAsia="x-none"/>
        </w:rPr>
        <w:t xml:space="preserve">bảo đảm các quy định rõ ràng, thực chất, ngắn gọn, dễ hiểu, dễ thực hiện, bám sát thực tiễn, bảo đảm tính khả thi; quy định rõ nhiệm vụ, quyền hạn của các cơ quan, tổ chức, cá nhân </w:t>
      </w:r>
      <w:r w:rsidRPr="00DA4818">
        <w:rPr>
          <w:rFonts w:eastAsia="Times New Roman" w:cs="Times New Roman"/>
          <w:bCs/>
          <w:spacing w:val="-2"/>
          <w:szCs w:val="28"/>
          <w:lang w:eastAsia="x-none"/>
        </w:rPr>
        <w:t>để nâng cao năng lực thực thi; đơn giản hóa thủ tục hành chính, tạo thuận lợi cao nhất cho người đi khám bệnh, chữa bệnh bảo hiểm y tế; chỉ quy định những nội dung đúng thẩm quyền của Quốc hội; giao Chính phủ, các Bộ quy định nhiều nội dung theo thẩm quyền để linh hoạt, kịp thời sửa đổi, bổ sung khi cần thiết; hạn chế tối đa việc quy định trùng lặp với quy định trong các luật khác</w:t>
      </w:r>
      <w:r w:rsidRPr="00DA4818">
        <w:rPr>
          <w:rFonts w:eastAsia="Times New Roman" w:cs="Times New Roman"/>
          <w:bCs/>
          <w:szCs w:val="28"/>
          <w:lang w:eastAsia="x-none"/>
        </w:rPr>
        <w:t>.</w:t>
      </w:r>
    </w:p>
    <w:p w:rsidR="007A5128" w:rsidRPr="00DA4818" w:rsidRDefault="00974C01" w:rsidP="005D022F">
      <w:pPr>
        <w:widowControl w:val="0"/>
        <w:spacing w:after="120"/>
        <w:ind w:right="-14"/>
        <w:rPr>
          <w:rFonts w:eastAsia="Calibri" w:cs="Times New Roman"/>
          <w:szCs w:val="28"/>
          <w:lang w:val="vi-VN"/>
        </w:rPr>
      </w:pPr>
      <w:r w:rsidRPr="00DA4818">
        <w:rPr>
          <w:rFonts w:eastAsia="Calibri" w:cs="Times New Roman"/>
          <w:szCs w:val="28"/>
        </w:rPr>
        <w:t xml:space="preserve">Về cơ bản, các nội dung lớn của dự thảo Luật đã đạt được sự đồng thuận của các cơ quan tham gia tiếp thu, chỉnh lý. </w:t>
      </w:r>
      <w:r w:rsidR="007A5128" w:rsidRPr="00DA4818">
        <w:rPr>
          <w:rFonts w:eastAsia="Calibri" w:cs="Times New Roman"/>
          <w:szCs w:val="28"/>
          <w:lang w:val="vi-VN"/>
        </w:rPr>
        <w:t xml:space="preserve">Dự thảo Luật sau khi chỉnh lý </w:t>
      </w:r>
      <w:r w:rsidR="007A5128" w:rsidRPr="00DA4818">
        <w:rPr>
          <w:rFonts w:eastAsia="Calibri" w:cs="Times New Roman"/>
          <w:b/>
          <w:bCs/>
          <w:szCs w:val="28"/>
          <w:lang w:val="vi-VN"/>
        </w:rPr>
        <w:t xml:space="preserve">gồm </w:t>
      </w:r>
      <w:r w:rsidR="00E4581C" w:rsidRPr="00DA4818">
        <w:rPr>
          <w:rFonts w:eastAsia="Calibri" w:cs="Times New Roman"/>
          <w:b/>
          <w:bCs/>
          <w:szCs w:val="28"/>
          <w:lang w:val="en-GB"/>
        </w:rPr>
        <w:t>0</w:t>
      </w:r>
      <w:r w:rsidR="007A5128" w:rsidRPr="00DA4818">
        <w:rPr>
          <w:rFonts w:eastAsia="Calibri" w:cs="Times New Roman"/>
          <w:b/>
          <w:bCs/>
          <w:szCs w:val="28"/>
          <w:lang w:val="vi-VN"/>
        </w:rPr>
        <w:t>3 điều,</w:t>
      </w:r>
      <w:r w:rsidR="007A5128" w:rsidRPr="00DA4818">
        <w:rPr>
          <w:rFonts w:eastAsia="Calibri" w:cs="Times New Roman"/>
          <w:szCs w:val="28"/>
          <w:lang w:val="vi-VN"/>
        </w:rPr>
        <w:t xml:space="preserve"> </w:t>
      </w:r>
      <w:r w:rsidR="007A5128" w:rsidRPr="00DA4818">
        <w:rPr>
          <w:rFonts w:eastAsia="Calibri" w:cs="Times New Roman"/>
          <w:b/>
          <w:bCs/>
          <w:szCs w:val="28"/>
          <w:lang w:val="vi-VN"/>
        </w:rPr>
        <w:t>Điều</w:t>
      </w:r>
      <w:r w:rsidR="00F4577D" w:rsidRPr="00DA4818">
        <w:rPr>
          <w:rFonts w:eastAsia="Calibri" w:cs="Times New Roman"/>
          <w:b/>
          <w:bCs/>
          <w:szCs w:val="28"/>
          <w:lang w:val="en-GB"/>
        </w:rPr>
        <w:t xml:space="preserve"> </w:t>
      </w:r>
      <w:r w:rsidR="007A5128" w:rsidRPr="00DA4818">
        <w:rPr>
          <w:rFonts w:eastAsia="Calibri" w:cs="Times New Roman"/>
          <w:b/>
          <w:bCs/>
          <w:szCs w:val="28"/>
          <w:lang w:val="vi-VN"/>
        </w:rPr>
        <w:t>1</w:t>
      </w:r>
      <w:r w:rsidR="00F4577D" w:rsidRPr="00DA4818">
        <w:rPr>
          <w:rFonts w:eastAsia="Calibri" w:cs="Times New Roman"/>
          <w:szCs w:val="28"/>
          <w:lang w:val="en-GB"/>
        </w:rPr>
        <w:t xml:space="preserve"> </w:t>
      </w:r>
      <w:r w:rsidR="007A5128" w:rsidRPr="00DA4818">
        <w:rPr>
          <w:rFonts w:eastAsia="Calibri" w:cs="Times New Roman"/>
          <w:szCs w:val="28"/>
          <w:lang w:val="vi-VN"/>
        </w:rPr>
        <w:t xml:space="preserve">bổ sung 02 điều mới </w:t>
      </w:r>
      <w:r w:rsidR="00756826" w:rsidRPr="00DA4818">
        <w:rPr>
          <w:spacing w:val="-2"/>
          <w:szCs w:val="28"/>
          <w:lang w:val="vi-VN"/>
        </w:rPr>
        <w:t xml:space="preserve">quy định về chậm đóng, trốn đóng bảo hiểm y tế </w:t>
      </w:r>
      <w:r w:rsidR="007A5128" w:rsidRPr="00DA4818">
        <w:rPr>
          <w:rFonts w:eastAsia="Calibri" w:cs="Times New Roman"/>
          <w:szCs w:val="28"/>
          <w:lang w:val="vi-VN"/>
        </w:rPr>
        <w:t xml:space="preserve">và sửa đổi, bổ sung 40 điều của Luật Bảo hiểm y tế hiện hành (trong đó bổ sung 03 khoản mới ở 2 điều); bãi bỏ khoản 2 Điều 32 của Luật số 30/2023/QH15 về lực lượng </w:t>
      </w:r>
      <w:r w:rsidR="007A5128" w:rsidRPr="00DA4818">
        <w:rPr>
          <w:rFonts w:eastAsia="Calibri" w:cs="Times New Roman"/>
          <w:szCs w:val="28"/>
        </w:rPr>
        <w:t xml:space="preserve">tham gia bảo vệ </w:t>
      </w:r>
      <w:r w:rsidR="007A5128" w:rsidRPr="00DA4818">
        <w:rPr>
          <w:rFonts w:eastAsia="Calibri" w:cs="Times New Roman"/>
          <w:szCs w:val="28"/>
          <w:lang w:val="vi-VN"/>
        </w:rPr>
        <w:t xml:space="preserve">an ninh trật tự </w:t>
      </w:r>
      <w:r w:rsidR="007A5128" w:rsidRPr="00DA4818">
        <w:rPr>
          <w:rFonts w:eastAsia="Calibri" w:cs="Times New Roman"/>
          <w:szCs w:val="28"/>
        </w:rPr>
        <w:t>ở</w:t>
      </w:r>
      <w:r w:rsidR="007A5128" w:rsidRPr="00DA4818">
        <w:rPr>
          <w:rFonts w:eastAsia="Calibri" w:cs="Times New Roman"/>
          <w:szCs w:val="28"/>
          <w:lang w:val="vi-VN"/>
        </w:rPr>
        <w:t xml:space="preserve"> cơ sở</w:t>
      </w:r>
      <w:r w:rsidR="00B20566" w:rsidRPr="00DA4818">
        <w:rPr>
          <w:rStyle w:val="FootnoteReference"/>
          <w:rFonts w:eastAsia="Calibri" w:cs="Times New Roman"/>
          <w:szCs w:val="28"/>
          <w:lang w:val="vi-VN"/>
        </w:rPr>
        <w:footnoteReference w:id="1"/>
      </w:r>
      <w:r w:rsidR="007A5128" w:rsidRPr="00DA4818">
        <w:rPr>
          <w:rFonts w:eastAsia="Calibri" w:cs="Times New Roman"/>
          <w:szCs w:val="28"/>
        </w:rPr>
        <w:t>,</w:t>
      </w:r>
      <w:r w:rsidR="007A5128" w:rsidRPr="00DA4818">
        <w:rPr>
          <w:rFonts w:eastAsia="Calibri" w:cs="Times New Roman"/>
          <w:szCs w:val="28"/>
          <w:lang w:val="vi-VN"/>
        </w:rPr>
        <w:t xml:space="preserve"> do đã thu hút nội dung vào dự thảo Luật; </w:t>
      </w:r>
      <w:r w:rsidR="007A5128" w:rsidRPr="00DA4818">
        <w:rPr>
          <w:rFonts w:eastAsia="Calibri" w:cs="Times New Roman"/>
          <w:b/>
          <w:bCs/>
          <w:szCs w:val="28"/>
          <w:lang w:val="vi-VN"/>
        </w:rPr>
        <w:t>Điều 2</w:t>
      </w:r>
      <w:r w:rsidR="007A5128" w:rsidRPr="00DA4818">
        <w:rPr>
          <w:rFonts w:eastAsia="Calibri" w:cs="Times New Roman"/>
          <w:szCs w:val="28"/>
          <w:lang w:val="vi-VN"/>
        </w:rPr>
        <w:t xml:space="preserve"> về </w:t>
      </w:r>
      <w:r w:rsidR="007A5128" w:rsidRPr="00DA4818">
        <w:rPr>
          <w:rFonts w:eastAsia="Calibri" w:cs="Times New Roman"/>
          <w:szCs w:val="28"/>
        </w:rPr>
        <w:t>h</w:t>
      </w:r>
      <w:r w:rsidR="007A5128" w:rsidRPr="00DA4818">
        <w:rPr>
          <w:rFonts w:eastAsia="Calibri" w:cs="Times New Roman"/>
          <w:szCs w:val="28"/>
          <w:lang w:val="vi-VN"/>
        </w:rPr>
        <w:t xml:space="preserve">iệu lực thi hành; </w:t>
      </w:r>
      <w:r w:rsidR="007A5128" w:rsidRPr="00DA4818">
        <w:rPr>
          <w:rFonts w:eastAsia="Calibri" w:cs="Times New Roman"/>
          <w:b/>
          <w:bCs/>
          <w:szCs w:val="28"/>
          <w:lang w:val="vi-VN"/>
        </w:rPr>
        <w:t>Điều 3</w:t>
      </w:r>
      <w:r w:rsidR="007A5128" w:rsidRPr="00DA4818">
        <w:rPr>
          <w:rFonts w:eastAsia="Calibri" w:cs="Times New Roman"/>
          <w:szCs w:val="28"/>
          <w:lang w:val="vi-VN"/>
        </w:rPr>
        <w:t xml:space="preserve"> về </w:t>
      </w:r>
      <w:r w:rsidR="007A5128" w:rsidRPr="00DA4818">
        <w:rPr>
          <w:rFonts w:eastAsia="Calibri" w:cs="Times New Roman"/>
          <w:szCs w:val="28"/>
        </w:rPr>
        <w:t>q</w:t>
      </w:r>
      <w:r w:rsidR="007A5128" w:rsidRPr="00DA4818">
        <w:rPr>
          <w:rFonts w:eastAsia="Calibri" w:cs="Times New Roman"/>
          <w:szCs w:val="28"/>
          <w:lang w:val="vi-VN"/>
        </w:rPr>
        <w:t xml:space="preserve">uy định chuyển tiếp. </w:t>
      </w:r>
    </w:p>
    <w:p w:rsidR="00CC4207" w:rsidRPr="00DA4818" w:rsidRDefault="00CC4207" w:rsidP="005D022F">
      <w:pPr>
        <w:widowControl w:val="0"/>
        <w:spacing w:after="120"/>
        <w:ind w:right="-14" w:firstLine="562"/>
        <w:rPr>
          <w:rFonts w:eastAsia="Calibri" w:cs="Times New Roman"/>
          <w:szCs w:val="28"/>
          <w:lang w:val="vi-VN"/>
        </w:rPr>
      </w:pPr>
      <w:r w:rsidRPr="00DA4818">
        <w:rPr>
          <w:rFonts w:eastAsia="Calibri" w:cs="Times New Roman"/>
          <w:szCs w:val="28"/>
          <w:lang w:val="nl-NL"/>
        </w:rPr>
        <w:lastRenderedPageBreak/>
        <w:t>Thường trực Ủy ban Xã hội xin báo cáo Ủy ban Thường vụ Quốc hội dự kiến tiếp thu, giải trình và chỉnh lý một số nội dung lớn của dự thảo Luật như sau:</w:t>
      </w:r>
    </w:p>
    <w:p w:rsidR="00CC4207" w:rsidRPr="00DA4818" w:rsidRDefault="00CC4207" w:rsidP="005D022F">
      <w:pPr>
        <w:spacing w:after="120"/>
        <w:ind w:firstLine="709"/>
        <w:rPr>
          <w:rFonts w:eastAsia="Times New Roman"/>
          <w:b/>
          <w:szCs w:val="28"/>
          <w:lang w:val="nl-NL"/>
        </w:rPr>
      </w:pPr>
      <w:r w:rsidRPr="00DA4818">
        <w:rPr>
          <w:b/>
          <w:lang w:val="vi-VN"/>
        </w:rPr>
        <w:t xml:space="preserve">1. </w:t>
      </w:r>
      <w:r w:rsidRPr="00DA4818">
        <w:rPr>
          <w:rFonts w:eastAsia="Times New Roman"/>
          <w:b/>
          <w:bCs/>
          <w:szCs w:val="28"/>
          <w:lang w:val="nl-NL"/>
        </w:rPr>
        <w:t xml:space="preserve">Về đối tượng tham gia bảo hiểm y tế, mức </w:t>
      </w:r>
      <w:r w:rsidR="0073654A" w:rsidRPr="00DA4818">
        <w:rPr>
          <w:rFonts w:eastAsia="Times New Roman"/>
          <w:b/>
          <w:bCs/>
          <w:szCs w:val="28"/>
          <w:lang w:val="nl-NL"/>
        </w:rPr>
        <w:t>đóng và trách nhiệm đóng</w:t>
      </w:r>
      <w:r w:rsidR="006D6EF5" w:rsidRPr="00DA4818">
        <w:rPr>
          <w:rFonts w:eastAsia="Times New Roman"/>
          <w:b/>
          <w:bCs/>
          <w:szCs w:val="28"/>
          <w:lang w:val="nl-NL"/>
        </w:rPr>
        <w:t xml:space="preserve"> bảo hiểm y tế</w:t>
      </w:r>
      <w:r w:rsidR="0074015C" w:rsidRPr="00DA4818">
        <w:rPr>
          <w:rFonts w:eastAsia="Times New Roman"/>
          <w:b/>
          <w:bCs/>
          <w:szCs w:val="28"/>
          <w:lang w:val="nl-NL"/>
        </w:rPr>
        <w:t xml:space="preserve"> (Điều 12, Điều 13</w:t>
      </w:r>
      <w:r w:rsidR="0073654A" w:rsidRPr="00DA4818">
        <w:rPr>
          <w:rFonts w:eastAsia="Times New Roman"/>
          <w:b/>
          <w:bCs/>
          <w:szCs w:val="28"/>
          <w:lang w:val="nl-NL"/>
        </w:rPr>
        <w:t xml:space="preserve"> </w:t>
      </w:r>
      <w:r w:rsidR="0074015C" w:rsidRPr="00DA4818">
        <w:rPr>
          <w:rFonts w:eastAsia="Times New Roman"/>
          <w:b/>
          <w:bCs/>
          <w:szCs w:val="28"/>
          <w:lang w:val="nl-NL"/>
        </w:rPr>
        <w:t>sửa đổi, bổ sung)</w:t>
      </w:r>
    </w:p>
    <w:p w:rsidR="00C20A2E" w:rsidRPr="00DA4818" w:rsidRDefault="00C20A2E" w:rsidP="005D022F">
      <w:pPr>
        <w:spacing w:after="120"/>
        <w:ind w:firstLine="709"/>
        <w:rPr>
          <w:rFonts w:eastAsia="Times New Roman"/>
          <w:iCs/>
          <w:szCs w:val="28"/>
          <w:shd w:val="clear" w:color="auto" w:fill="FFFFFF"/>
          <w:lang w:val="nl-NL"/>
        </w:rPr>
      </w:pPr>
      <w:r w:rsidRPr="00DA4818">
        <w:rPr>
          <w:rFonts w:eastAsia="Times New Roman"/>
          <w:bCs/>
          <w:iCs/>
          <w:spacing w:val="-4"/>
          <w:szCs w:val="28"/>
          <w:lang w:val="nl-NL"/>
        </w:rPr>
        <w:t xml:space="preserve">Nhiều ý kiến đại biểu Quốc hội góp ý về các đối tượng tham gia bảo hiểm y tế, </w:t>
      </w:r>
      <w:r w:rsidR="007A0EEC" w:rsidRPr="00DA4818">
        <w:rPr>
          <w:rFonts w:eastAsia="Times New Roman"/>
          <w:bCs/>
          <w:iCs/>
          <w:spacing w:val="-4"/>
          <w:szCs w:val="28"/>
          <w:lang w:val="nl-NL"/>
        </w:rPr>
        <w:t xml:space="preserve"> dự kiến Điều 12 của dự thảo Luật  được </w:t>
      </w:r>
      <w:r w:rsidRPr="00DA4818">
        <w:rPr>
          <w:rFonts w:eastAsia="Times New Roman"/>
          <w:bCs/>
          <w:iCs/>
          <w:spacing w:val="-4"/>
          <w:szCs w:val="28"/>
          <w:lang w:val="nl-NL"/>
        </w:rPr>
        <w:t>tiếp thu, chỉnh lý</w:t>
      </w:r>
      <w:r w:rsidR="00C535D1" w:rsidRPr="00DA4818">
        <w:rPr>
          <w:rFonts w:eastAsia="Times New Roman"/>
          <w:bCs/>
          <w:iCs/>
          <w:spacing w:val="-4"/>
          <w:szCs w:val="28"/>
          <w:lang w:val="nl-NL"/>
        </w:rPr>
        <w:t xml:space="preserve"> </w:t>
      </w:r>
      <w:r w:rsidRPr="00DA4818">
        <w:rPr>
          <w:rFonts w:eastAsia="Times New Roman"/>
          <w:bCs/>
          <w:iCs/>
          <w:spacing w:val="-4"/>
          <w:szCs w:val="28"/>
          <w:lang w:val="nl-NL"/>
        </w:rPr>
        <w:t>theo hướng giữ nguyên các đối tượng được quy định trong Luật hiện hành; bổ sung các đối tượng đã được Luật khác quy định</w:t>
      </w:r>
      <w:r w:rsidR="007A0EEC" w:rsidRPr="00DA4818">
        <w:rPr>
          <w:rFonts w:eastAsia="Times New Roman"/>
          <w:bCs/>
          <w:iCs/>
          <w:spacing w:val="-4"/>
          <w:szCs w:val="28"/>
          <w:lang w:val="nl-NL"/>
        </w:rPr>
        <w:t xml:space="preserve"> trong đó có Luật dự kiến thông qua tại kỳ họp này như Luật phòng, chống mua bán người (</w:t>
      </w:r>
      <w:r w:rsidR="002D0389" w:rsidRPr="00DA4818">
        <w:rPr>
          <w:rFonts w:eastAsia="Times New Roman"/>
          <w:bCs/>
          <w:iCs/>
          <w:spacing w:val="-4"/>
          <w:szCs w:val="28"/>
          <w:lang w:val="nl-NL"/>
        </w:rPr>
        <w:t>s</w:t>
      </w:r>
      <w:r w:rsidR="007A0EEC" w:rsidRPr="00DA4818">
        <w:rPr>
          <w:rFonts w:eastAsia="Times New Roman"/>
          <w:bCs/>
          <w:iCs/>
          <w:spacing w:val="-4"/>
          <w:szCs w:val="28"/>
          <w:lang w:val="nl-NL"/>
        </w:rPr>
        <w:t>ửa đổi), Luật Di sản văn hóa (sửa đổi);</w:t>
      </w:r>
      <w:r w:rsidRPr="00DA4818">
        <w:rPr>
          <w:rFonts w:eastAsia="Times New Roman"/>
          <w:bCs/>
          <w:iCs/>
          <w:spacing w:val="-4"/>
          <w:szCs w:val="28"/>
          <w:lang w:val="nl-NL"/>
        </w:rPr>
        <w:t xml:space="preserve"> bổ sung đối tượng nhân viên y tế thôn bản, cô đỡ thôn bản để </w:t>
      </w:r>
      <w:r w:rsidRPr="00DA4818">
        <w:rPr>
          <w:rFonts w:eastAsia="Times New Roman"/>
          <w:szCs w:val="28"/>
          <w:lang w:val="nl-NL"/>
        </w:rPr>
        <w:t xml:space="preserve">động viên, khích lệ và có chính sách thoả đáng với đối tượng chăm sóc sức khỏe nhân dân ở vùng sâu, vùng xa và công bằng với đối tượng khác ở tổ dân phố; </w:t>
      </w:r>
      <w:r w:rsidR="002C32A9" w:rsidRPr="00DA4818">
        <w:rPr>
          <w:rFonts w:eastAsia="Times New Roman"/>
          <w:szCs w:val="28"/>
          <w:lang w:val="nl-NL"/>
        </w:rPr>
        <w:t xml:space="preserve">chưa bổ sung </w:t>
      </w:r>
      <w:r w:rsidR="007A0EEC" w:rsidRPr="00DA4818">
        <w:rPr>
          <w:rFonts w:eastAsia="Times New Roman"/>
          <w:szCs w:val="28"/>
          <w:lang w:val="nl-NL"/>
        </w:rPr>
        <w:t xml:space="preserve">vào dự thảo Luật </w:t>
      </w:r>
      <w:r w:rsidR="002C32A9" w:rsidRPr="00DA4818">
        <w:rPr>
          <w:rFonts w:eastAsia="Times New Roman"/>
          <w:szCs w:val="28"/>
          <w:lang w:val="nl-NL"/>
        </w:rPr>
        <w:t xml:space="preserve">thân nhân của dân quân thường trực do Luật Dân quân tự vệ không quy định chế độ bảo hiểm y tế cho đối tượng này </w:t>
      </w:r>
      <w:r w:rsidR="007A0EEC" w:rsidRPr="00DA4818">
        <w:rPr>
          <w:rFonts w:eastAsia="Times New Roman"/>
          <w:szCs w:val="28"/>
          <w:lang w:val="nl-NL"/>
        </w:rPr>
        <w:t>mà</w:t>
      </w:r>
      <w:r w:rsidR="002C32A9" w:rsidRPr="00DA4818">
        <w:rPr>
          <w:rFonts w:eastAsia="Times New Roman"/>
          <w:szCs w:val="28"/>
          <w:lang w:val="nl-NL"/>
        </w:rPr>
        <w:t xml:space="preserve"> </w:t>
      </w:r>
      <w:r w:rsidRPr="00DA4818">
        <w:rPr>
          <w:rFonts w:eastAsia="Times New Roman"/>
          <w:szCs w:val="28"/>
          <w:lang w:val="nl-NL"/>
        </w:rPr>
        <w:t xml:space="preserve">giao </w:t>
      </w:r>
      <w:r w:rsidRPr="00DA4818">
        <w:rPr>
          <w:rFonts w:eastAsia="Times New Roman"/>
          <w:b/>
          <w:bCs/>
          <w:i/>
          <w:iCs/>
          <w:szCs w:val="28"/>
          <w:lang w:val="nl-NL"/>
        </w:rPr>
        <w:t>Chính phủ quy định các đối tượng khác</w:t>
      </w:r>
      <w:r w:rsidR="007A0EEC" w:rsidRPr="00DA4818">
        <w:rPr>
          <w:rFonts w:eastAsia="Times New Roman"/>
          <w:b/>
          <w:bCs/>
          <w:i/>
          <w:iCs/>
          <w:szCs w:val="28"/>
          <w:lang w:val="nl-NL"/>
        </w:rPr>
        <w:t xml:space="preserve"> </w:t>
      </w:r>
      <w:r w:rsidR="00481505" w:rsidRPr="00DA4818">
        <w:rPr>
          <w:rFonts w:eastAsia="Times New Roman"/>
          <w:szCs w:val="28"/>
          <w:lang w:val="nl-NL"/>
        </w:rPr>
        <w:t>(</w:t>
      </w:r>
      <w:r w:rsidR="007A0EEC" w:rsidRPr="00DA4818">
        <w:rPr>
          <w:rFonts w:eastAsia="Times New Roman"/>
          <w:szCs w:val="28"/>
          <w:lang w:val="nl-NL"/>
        </w:rPr>
        <w:t>sau khi báo cáo Ủy ban Thường vụ Quốc hội</w:t>
      </w:r>
      <w:r w:rsidR="00481505" w:rsidRPr="00DA4818">
        <w:rPr>
          <w:rFonts w:eastAsia="Times New Roman"/>
          <w:szCs w:val="28"/>
          <w:lang w:val="nl-NL"/>
        </w:rPr>
        <w:t>,</w:t>
      </w:r>
      <w:r w:rsidRPr="00DA4818">
        <w:rPr>
          <w:rFonts w:eastAsia="Times New Roman"/>
          <w:szCs w:val="28"/>
          <w:lang w:val="nl-NL"/>
        </w:rPr>
        <w:t xml:space="preserve"> </w:t>
      </w:r>
      <w:r w:rsidRPr="00DA4818">
        <w:rPr>
          <w:rFonts w:eastAsia="Times New Roman"/>
          <w:iCs/>
          <w:szCs w:val="28"/>
          <w:shd w:val="clear" w:color="auto" w:fill="FFFFFF"/>
          <w:lang w:val="nl-NL"/>
        </w:rPr>
        <w:t>sau</w:t>
      </w:r>
      <w:r w:rsidR="007A0EEC" w:rsidRPr="00DA4818">
        <w:rPr>
          <w:rFonts w:eastAsia="Times New Roman"/>
          <w:iCs/>
          <w:szCs w:val="28"/>
          <w:shd w:val="clear" w:color="auto" w:fill="FFFFFF"/>
          <w:lang w:val="nl-NL"/>
        </w:rPr>
        <w:t xml:space="preserve"> một </w:t>
      </w:r>
      <w:r w:rsidRPr="00DA4818">
        <w:rPr>
          <w:rFonts w:eastAsia="Times New Roman"/>
          <w:iCs/>
          <w:szCs w:val="28"/>
          <w:shd w:val="clear" w:color="auto" w:fill="FFFFFF"/>
          <w:lang w:val="nl-NL"/>
        </w:rPr>
        <w:t xml:space="preserve">thời gian thực hiện ổn định và có đánh giá </w:t>
      </w:r>
      <w:r w:rsidR="00F04C8A" w:rsidRPr="00DA4818">
        <w:rPr>
          <w:rFonts w:eastAsia="Times New Roman"/>
          <w:iCs/>
          <w:szCs w:val="28"/>
          <w:shd w:val="clear" w:color="auto" w:fill="FFFFFF"/>
          <w:lang w:val="nl-NL"/>
        </w:rPr>
        <w:t>đầy đủ</w:t>
      </w:r>
      <w:r w:rsidRPr="00DA4818">
        <w:rPr>
          <w:rFonts w:eastAsia="Times New Roman"/>
          <w:iCs/>
          <w:szCs w:val="28"/>
          <w:shd w:val="clear" w:color="auto" w:fill="FFFFFF"/>
          <w:lang w:val="nl-NL"/>
        </w:rPr>
        <w:t xml:space="preserve"> sẽ nghiên cứu bổ sung khi sửa đổi toàn diện Luật. </w:t>
      </w:r>
    </w:p>
    <w:p w:rsidR="00CC4207" w:rsidRPr="00DA4818" w:rsidRDefault="006D6EF5" w:rsidP="005D022F">
      <w:pPr>
        <w:spacing w:after="120"/>
        <w:ind w:firstLine="709"/>
        <w:rPr>
          <w:spacing w:val="-2"/>
          <w:szCs w:val="28"/>
          <w:lang w:val="nl-NL"/>
        </w:rPr>
      </w:pPr>
      <w:r w:rsidRPr="00DA4818">
        <w:rPr>
          <w:rFonts w:eastAsia="Times New Roman"/>
          <w:szCs w:val="28"/>
          <w:lang w:val="nl-NL"/>
        </w:rPr>
        <w:t>Đồng thời</w:t>
      </w:r>
      <w:r w:rsidR="00FE33B7" w:rsidRPr="00DA4818">
        <w:rPr>
          <w:rFonts w:eastAsia="Times New Roman"/>
          <w:szCs w:val="28"/>
          <w:lang w:val="nl-NL"/>
        </w:rPr>
        <w:t>,</w:t>
      </w:r>
      <w:r w:rsidRPr="00DA4818">
        <w:rPr>
          <w:rFonts w:eastAsia="Times New Roman"/>
          <w:szCs w:val="28"/>
          <w:lang w:val="nl-NL"/>
        </w:rPr>
        <w:t xml:space="preserve"> </w:t>
      </w:r>
      <w:r w:rsidR="00C535D1" w:rsidRPr="00DA4818">
        <w:rPr>
          <w:rFonts w:eastAsia="Times New Roman"/>
          <w:szCs w:val="28"/>
          <w:lang w:val="nl-NL"/>
        </w:rPr>
        <w:t xml:space="preserve">Điều 13 của </w:t>
      </w:r>
      <w:r w:rsidRPr="00DA4818">
        <w:rPr>
          <w:rFonts w:eastAsia="Times New Roman"/>
          <w:szCs w:val="28"/>
          <w:lang w:val="nl-NL"/>
        </w:rPr>
        <w:t>dự thảo Luật  đã điều chỉnh các quy định về</w:t>
      </w:r>
      <w:r w:rsidR="00FE33B7" w:rsidRPr="00DA4818">
        <w:rPr>
          <w:rFonts w:eastAsia="Times New Roman"/>
          <w:szCs w:val="28"/>
          <w:lang w:val="nl-NL"/>
        </w:rPr>
        <w:t xml:space="preserve"> mức đóng và</w:t>
      </w:r>
      <w:r w:rsidR="00CC4207" w:rsidRPr="00DA4818">
        <w:rPr>
          <w:spacing w:val="-2"/>
          <w:szCs w:val="28"/>
          <w:lang w:val="vi-VN"/>
        </w:rPr>
        <w:t xml:space="preserve"> </w:t>
      </w:r>
      <w:r w:rsidR="00CC4207" w:rsidRPr="00DA4818">
        <w:rPr>
          <w:spacing w:val="-2"/>
          <w:szCs w:val="28"/>
          <w:lang w:val="pt-BR"/>
        </w:rPr>
        <w:t xml:space="preserve">trách nhiệm </w:t>
      </w:r>
      <w:r w:rsidR="00CC4207" w:rsidRPr="00DA4818">
        <w:rPr>
          <w:rFonts w:hint="eastAsia"/>
          <w:spacing w:val="-2"/>
          <w:szCs w:val="28"/>
          <w:lang w:val="pt-BR"/>
        </w:rPr>
        <w:t>đó</w:t>
      </w:r>
      <w:r w:rsidR="00CC4207" w:rsidRPr="00DA4818">
        <w:rPr>
          <w:spacing w:val="-2"/>
          <w:szCs w:val="28"/>
          <w:lang w:val="pt-BR"/>
        </w:rPr>
        <w:t>ng</w:t>
      </w:r>
      <w:r w:rsidR="00CC4207" w:rsidRPr="00DA4818">
        <w:rPr>
          <w:spacing w:val="-2"/>
          <w:szCs w:val="28"/>
          <w:lang w:val="vi-VN"/>
        </w:rPr>
        <w:t xml:space="preserve"> bảo hiểm y tế để đồng bộ với việc sửa các đối tượng tham gia bảo hiểm y tế</w:t>
      </w:r>
      <w:r w:rsidRPr="00DA4818">
        <w:rPr>
          <w:spacing w:val="-2"/>
          <w:szCs w:val="28"/>
          <w:lang w:val="nl-NL"/>
        </w:rPr>
        <w:t>. Trong đó, quy định đối tượng học sinh, sinh viên</w:t>
      </w:r>
      <w:r w:rsidR="00C20A2E" w:rsidRPr="00DA4818">
        <w:rPr>
          <w:spacing w:val="-2"/>
          <w:szCs w:val="28"/>
          <w:lang w:val="nl-NL"/>
        </w:rPr>
        <w:t xml:space="preserve"> tiếp tục</w:t>
      </w:r>
      <w:r w:rsidRPr="00DA4818">
        <w:rPr>
          <w:spacing w:val="-2"/>
          <w:szCs w:val="28"/>
          <w:lang w:val="nl-NL"/>
        </w:rPr>
        <w:t xml:space="preserve"> tham gia theo nhóm đối tượng được ngân sách nhà nước hỗ trợ để đảm bảo tính ổn định khi tham gia báo hiểm y tế của nhóm đối tượng này. </w:t>
      </w:r>
    </w:p>
    <w:p w:rsidR="005F071F" w:rsidRPr="00DA4818" w:rsidRDefault="0074015C" w:rsidP="005D022F">
      <w:pPr>
        <w:spacing w:after="120"/>
        <w:ind w:firstLine="709"/>
        <w:rPr>
          <w:b/>
          <w:spacing w:val="-2"/>
          <w:szCs w:val="28"/>
          <w:lang w:val="nl-NL"/>
        </w:rPr>
      </w:pPr>
      <w:r w:rsidRPr="00DA4818">
        <w:rPr>
          <w:b/>
          <w:spacing w:val="-2"/>
          <w:szCs w:val="28"/>
          <w:lang w:val="nl-NL"/>
        </w:rPr>
        <w:t xml:space="preserve">2. Quy định về </w:t>
      </w:r>
      <w:r w:rsidR="005F071F" w:rsidRPr="00DA4818">
        <w:rPr>
          <w:b/>
          <w:spacing w:val="-2"/>
          <w:szCs w:val="28"/>
          <w:lang w:val="pt-BR"/>
        </w:rPr>
        <w:t>phạm vi được hưởng</w:t>
      </w:r>
      <w:r w:rsidR="00A34737" w:rsidRPr="00DA4818">
        <w:rPr>
          <w:b/>
          <w:spacing w:val="-2"/>
          <w:szCs w:val="28"/>
          <w:lang w:val="pt-BR"/>
        </w:rPr>
        <w:t>, mức hưởng</w:t>
      </w:r>
      <w:r w:rsidR="005F071F" w:rsidRPr="00DA4818">
        <w:rPr>
          <w:b/>
          <w:spacing w:val="-2"/>
          <w:szCs w:val="28"/>
          <w:lang w:val="pt-BR"/>
        </w:rPr>
        <w:t xml:space="preserve">, </w:t>
      </w:r>
      <w:r w:rsidR="00CC4207" w:rsidRPr="00DA4818">
        <w:rPr>
          <w:rFonts w:hint="eastAsia"/>
          <w:b/>
          <w:spacing w:val="-2"/>
          <w:szCs w:val="28"/>
          <w:lang w:val="vi-VN"/>
        </w:rPr>
        <w:t>đă</w:t>
      </w:r>
      <w:r w:rsidR="00CC4207" w:rsidRPr="00DA4818">
        <w:rPr>
          <w:b/>
          <w:spacing w:val="-2"/>
          <w:szCs w:val="28"/>
          <w:lang w:val="vi-VN"/>
        </w:rPr>
        <w:t xml:space="preserve">ng ký khám bệnh, chữa bệnh bảo hiểm y tế ban </w:t>
      </w:r>
      <w:r w:rsidR="00CC4207" w:rsidRPr="00DA4818">
        <w:rPr>
          <w:rFonts w:hint="eastAsia"/>
          <w:b/>
          <w:spacing w:val="-2"/>
          <w:szCs w:val="28"/>
          <w:lang w:val="vi-VN"/>
        </w:rPr>
        <w:t>đ</w:t>
      </w:r>
      <w:r w:rsidR="00CC4207" w:rsidRPr="00DA4818">
        <w:rPr>
          <w:b/>
          <w:spacing w:val="-2"/>
          <w:szCs w:val="28"/>
          <w:lang w:val="vi-VN"/>
        </w:rPr>
        <w:t>ầu, chuyển c</w:t>
      </w:r>
      <w:r w:rsidR="00CC4207" w:rsidRPr="00DA4818">
        <w:rPr>
          <w:rFonts w:hint="eastAsia"/>
          <w:b/>
          <w:spacing w:val="-2"/>
          <w:szCs w:val="28"/>
          <w:lang w:val="vi-VN"/>
        </w:rPr>
        <w:t>ơ</w:t>
      </w:r>
      <w:r w:rsidR="00CC4207" w:rsidRPr="00DA4818">
        <w:rPr>
          <w:b/>
          <w:spacing w:val="-2"/>
          <w:szCs w:val="28"/>
          <w:lang w:val="vi-VN"/>
        </w:rPr>
        <w:t xml:space="preserve"> sở khám bệnh, chữa bệnh bảo hiểm y tế </w:t>
      </w:r>
      <w:r w:rsidR="005F071F" w:rsidRPr="00DA4818">
        <w:rPr>
          <w:b/>
          <w:spacing w:val="-2"/>
          <w:szCs w:val="28"/>
          <w:lang w:val="nl-NL"/>
        </w:rPr>
        <w:t xml:space="preserve">(Điều 21, </w:t>
      </w:r>
      <w:r w:rsidR="00A34737" w:rsidRPr="00DA4818">
        <w:rPr>
          <w:b/>
          <w:spacing w:val="-2"/>
          <w:szCs w:val="28"/>
          <w:lang w:val="nl-NL"/>
        </w:rPr>
        <w:t xml:space="preserve">22, </w:t>
      </w:r>
      <w:r w:rsidR="005F071F" w:rsidRPr="00DA4818">
        <w:rPr>
          <w:b/>
          <w:spacing w:val="-2"/>
          <w:szCs w:val="28"/>
          <w:lang w:val="nl-NL"/>
        </w:rPr>
        <w:t>26</w:t>
      </w:r>
      <w:r w:rsidR="00491A77" w:rsidRPr="00DA4818">
        <w:rPr>
          <w:b/>
          <w:spacing w:val="-2"/>
          <w:szCs w:val="28"/>
          <w:lang w:val="nl-NL"/>
        </w:rPr>
        <w:t xml:space="preserve"> và </w:t>
      </w:r>
      <w:r w:rsidR="005F071F" w:rsidRPr="00DA4818">
        <w:rPr>
          <w:b/>
          <w:spacing w:val="-2"/>
          <w:szCs w:val="28"/>
          <w:lang w:val="nl-NL"/>
        </w:rPr>
        <w:t>27 sửa đổi, bổ sung)</w:t>
      </w:r>
    </w:p>
    <w:p w:rsidR="00CC4207" w:rsidRPr="00DA4818" w:rsidRDefault="005F071F" w:rsidP="005D022F">
      <w:pPr>
        <w:spacing w:after="120"/>
        <w:ind w:firstLine="709"/>
        <w:rPr>
          <w:spacing w:val="-2"/>
          <w:szCs w:val="28"/>
          <w:lang w:val="nl-NL"/>
        </w:rPr>
      </w:pPr>
      <w:r w:rsidRPr="00DA4818">
        <w:rPr>
          <w:spacing w:val="-2"/>
          <w:szCs w:val="28"/>
          <w:lang w:val="nl-NL"/>
        </w:rPr>
        <w:t>Tiếp thu ý kiến đại biểu Quốc hội và để</w:t>
      </w:r>
      <w:r w:rsidR="00FE33B7" w:rsidRPr="00DA4818">
        <w:rPr>
          <w:spacing w:val="-2"/>
          <w:szCs w:val="28"/>
          <w:lang w:val="nl-NL"/>
        </w:rPr>
        <w:t xml:space="preserve"> đồng bộ</w:t>
      </w:r>
      <w:r w:rsidRPr="00DA4818">
        <w:rPr>
          <w:spacing w:val="-2"/>
          <w:szCs w:val="28"/>
          <w:lang w:val="nl-NL"/>
        </w:rPr>
        <w:t xml:space="preserve"> với Luật Khám bệnh, chữa bệnh năm 2023, dự thảo Luật đã bổ sung, làm rõ các hình thức khám bệnh, chữa bệnh mới được thanh toán chi phí khám bệnh</w:t>
      </w:r>
      <w:r w:rsidR="00F04C8A" w:rsidRPr="00DA4818">
        <w:rPr>
          <w:spacing w:val="-2"/>
          <w:szCs w:val="28"/>
          <w:lang w:val="nl-NL"/>
        </w:rPr>
        <w:t>,</w:t>
      </w:r>
      <w:r w:rsidRPr="00DA4818">
        <w:rPr>
          <w:spacing w:val="-2"/>
          <w:szCs w:val="28"/>
          <w:lang w:val="nl-NL"/>
        </w:rPr>
        <w:t xml:space="preserve"> chữa bệnh bảo hiểm y tế như: khám bệnh, chữa bệnh từ xa; khám bệnh, chữa bệnh y học gia đình; khám bệnh, chữa bệnh tại nhà</w:t>
      </w:r>
      <w:r w:rsidR="005B7223" w:rsidRPr="00DA4818">
        <w:rPr>
          <w:spacing w:val="-2"/>
          <w:szCs w:val="28"/>
          <w:lang w:val="nl-NL"/>
        </w:rPr>
        <w:t xml:space="preserve"> (điểm a khoản 1 Điều 21 sửa đổi, bổ sung)</w:t>
      </w:r>
      <w:r w:rsidRPr="00DA4818">
        <w:rPr>
          <w:spacing w:val="-2"/>
          <w:szCs w:val="28"/>
          <w:lang w:val="nl-NL"/>
        </w:rPr>
        <w:t xml:space="preserve">. </w:t>
      </w:r>
    </w:p>
    <w:p w:rsidR="005F071F" w:rsidRPr="00DA4818" w:rsidRDefault="005F071F" w:rsidP="005D022F">
      <w:pPr>
        <w:spacing w:after="120"/>
        <w:ind w:firstLine="709"/>
        <w:rPr>
          <w:spacing w:val="-2"/>
          <w:szCs w:val="28"/>
          <w:lang w:val="nl-NL"/>
        </w:rPr>
      </w:pPr>
      <w:r w:rsidRPr="00DA4818">
        <w:rPr>
          <w:spacing w:val="-2"/>
          <w:szCs w:val="28"/>
          <w:lang w:val="nl-NL"/>
        </w:rPr>
        <w:t>Về đăng ký khám bệnh, chữa bệnh ban đầu</w:t>
      </w:r>
      <w:r w:rsidR="005B7223" w:rsidRPr="00DA4818">
        <w:rPr>
          <w:spacing w:val="-2"/>
          <w:szCs w:val="28"/>
          <w:lang w:val="nl-NL"/>
        </w:rPr>
        <w:t>, khám bệnh</w:t>
      </w:r>
      <w:r w:rsidR="00F04C8A" w:rsidRPr="00DA4818">
        <w:rPr>
          <w:spacing w:val="-2"/>
          <w:szCs w:val="28"/>
          <w:lang w:val="nl-NL"/>
        </w:rPr>
        <w:t>,</w:t>
      </w:r>
      <w:r w:rsidR="005B7223" w:rsidRPr="00DA4818">
        <w:rPr>
          <w:spacing w:val="-2"/>
          <w:szCs w:val="28"/>
          <w:lang w:val="nl-NL"/>
        </w:rPr>
        <w:t xml:space="preserve"> chữa bệnh theo cấp chuyên môn kỹ thuật</w:t>
      </w:r>
      <w:r w:rsidR="00B25C42" w:rsidRPr="00DA4818">
        <w:rPr>
          <w:spacing w:val="-2"/>
          <w:szCs w:val="28"/>
          <w:lang w:val="nl-NL"/>
        </w:rPr>
        <w:t>,</w:t>
      </w:r>
      <w:r w:rsidR="005B7223" w:rsidRPr="00DA4818">
        <w:rPr>
          <w:spacing w:val="-2"/>
          <w:szCs w:val="28"/>
          <w:lang w:val="nl-NL"/>
        </w:rPr>
        <w:t xml:space="preserve"> </w:t>
      </w:r>
      <w:r w:rsidRPr="00DA4818">
        <w:rPr>
          <w:spacing w:val="-2"/>
          <w:szCs w:val="28"/>
          <w:lang w:val="nl-NL"/>
        </w:rPr>
        <w:t>dự thảo hiện đang được thiết kế</w:t>
      </w:r>
      <w:r w:rsidR="00FE33B7" w:rsidRPr="00DA4818">
        <w:rPr>
          <w:spacing w:val="-2"/>
          <w:szCs w:val="28"/>
          <w:lang w:val="nl-NL"/>
        </w:rPr>
        <w:t xml:space="preserve"> theo hướng</w:t>
      </w:r>
      <w:r w:rsidRPr="00DA4818">
        <w:rPr>
          <w:spacing w:val="-2"/>
          <w:szCs w:val="28"/>
          <w:lang w:val="nl-NL"/>
        </w:rPr>
        <w:t xml:space="preserve"> quy định </w:t>
      </w:r>
      <w:r w:rsidR="00B25C42" w:rsidRPr="00DA4818">
        <w:rPr>
          <w:rFonts w:cs="Times New Roman"/>
          <w:bCs/>
          <w:iCs/>
          <w:szCs w:val="28"/>
          <w:lang w:val="vi-VN"/>
        </w:rPr>
        <w:t xml:space="preserve">quyền </w:t>
      </w:r>
      <w:r w:rsidR="00B25C42" w:rsidRPr="00DA4818">
        <w:rPr>
          <w:rFonts w:cs="Times New Roman"/>
          <w:bCs/>
          <w:iCs/>
          <w:szCs w:val="28"/>
          <w:lang w:val="nl-NL"/>
        </w:rPr>
        <w:t xml:space="preserve">của người có thẻ bảo hiểm y tế trong việc </w:t>
      </w:r>
      <w:r w:rsidR="00B25C42" w:rsidRPr="00DA4818">
        <w:rPr>
          <w:rFonts w:cs="Times New Roman"/>
          <w:bCs/>
          <w:iCs/>
          <w:szCs w:val="28"/>
          <w:lang w:val="vi-VN"/>
        </w:rPr>
        <w:t>đăng ký khám bệnh, chữa bệnh bảo hiểm y tế ban đầu tại cơ sở khám bệnh, chữa bệnh cấp ban đầu và cấp cơ bản</w:t>
      </w:r>
      <w:r w:rsidR="00B25C42" w:rsidRPr="00DA4818">
        <w:rPr>
          <w:rFonts w:cs="Times New Roman"/>
          <w:bCs/>
          <w:iCs/>
          <w:szCs w:val="28"/>
          <w:lang w:val="nl-NL"/>
        </w:rPr>
        <w:t>;</w:t>
      </w:r>
      <w:r w:rsidR="00B25C42" w:rsidRPr="00DA4818">
        <w:rPr>
          <w:spacing w:val="-2"/>
          <w:szCs w:val="28"/>
          <w:lang w:val="nl-NL"/>
        </w:rPr>
        <w:t xml:space="preserve"> </w:t>
      </w:r>
      <w:r w:rsidRPr="00DA4818">
        <w:rPr>
          <w:spacing w:val="-2"/>
          <w:szCs w:val="28"/>
          <w:lang w:val="nl-NL"/>
        </w:rPr>
        <w:t xml:space="preserve">khái quát nguyên tắc </w:t>
      </w:r>
      <w:r w:rsidR="00B25C42" w:rsidRPr="00DA4818">
        <w:rPr>
          <w:spacing w:val="-2"/>
          <w:szCs w:val="28"/>
          <w:lang w:val="nl-NL"/>
        </w:rPr>
        <w:t>phân bổ thẻ bảo hiểm y tế cho cơ sở đăng ký khám bệnh, chữa bệnh ban đầu</w:t>
      </w:r>
      <w:r w:rsidR="00F04C8A" w:rsidRPr="00DA4818">
        <w:rPr>
          <w:spacing w:val="-2"/>
          <w:szCs w:val="28"/>
          <w:lang w:val="nl-NL"/>
        </w:rPr>
        <w:t xml:space="preserve"> </w:t>
      </w:r>
      <w:r w:rsidRPr="00DA4818">
        <w:rPr>
          <w:spacing w:val="-2"/>
          <w:szCs w:val="28"/>
          <w:lang w:val="nl-NL"/>
        </w:rPr>
        <w:t>và giao Bộ trưởng Bộ Y tế, Bộ trưởng Bộ Công an, Bộ trưởng Bộ Quốc phòng căn cứ theo thẩm quyền ban hành quy định chi tiết và hướng dẫn thực hiện</w:t>
      </w:r>
      <w:r w:rsidR="00B25C42" w:rsidRPr="00DA4818">
        <w:rPr>
          <w:spacing w:val="-2"/>
          <w:szCs w:val="28"/>
          <w:lang w:val="nl-NL"/>
        </w:rPr>
        <w:t xml:space="preserve"> tại Điều 26; quy định việc chuyển cơ sở khám bệnh, chữa bệnh được thực hiện theo yêu cầu chuyên môn và khả năng đáp ứng của cơ sở khám bệnh, chữa bệnh</w:t>
      </w:r>
      <w:r w:rsidR="00F04C8A" w:rsidRPr="00DA4818">
        <w:rPr>
          <w:spacing w:val="-2"/>
          <w:szCs w:val="28"/>
          <w:lang w:val="nl-NL"/>
        </w:rPr>
        <w:t>,</w:t>
      </w:r>
      <w:r w:rsidR="00B25C42" w:rsidRPr="00DA4818">
        <w:rPr>
          <w:spacing w:val="-2"/>
          <w:szCs w:val="28"/>
          <w:lang w:val="nl-NL"/>
        </w:rPr>
        <w:t xml:space="preserve"> việc chuyển người bệnh về cơ sở khám bệnh, chữa bệnh bảo hiểm y tế ban đầu để điều trị, quản lý đối với các bệnh mạn tính tại Điều 27.</w:t>
      </w:r>
    </w:p>
    <w:p w:rsidR="00F61BDB" w:rsidRPr="00DA4818" w:rsidRDefault="007E06AC" w:rsidP="005D022F">
      <w:pPr>
        <w:tabs>
          <w:tab w:val="right" w:leader="dot" w:pos="8640"/>
        </w:tabs>
        <w:spacing w:after="120"/>
        <w:outlineLvl w:val="0"/>
        <w:rPr>
          <w:spacing w:val="-2"/>
          <w:szCs w:val="28"/>
          <w:lang w:val="vi-VN"/>
        </w:rPr>
      </w:pPr>
      <w:r w:rsidRPr="00DA4818">
        <w:rPr>
          <w:spacing w:val="-2"/>
          <w:szCs w:val="28"/>
          <w:lang w:val="nl-NL"/>
        </w:rPr>
        <w:t>Quy định về mức hưởng bảo hiểm y tế</w:t>
      </w:r>
      <w:r w:rsidR="005B7223" w:rsidRPr="00DA4818">
        <w:rPr>
          <w:spacing w:val="-2"/>
          <w:szCs w:val="28"/>
          <w:lang w:val="nl-NL"/>
        </w:rPr>
        <w:t xml:space="preserve"> được thiết kế </w:t>
      </w:r>
      <w:r w:rsidR="00CC4207" w:rsidRPr="00DA4818">
        <w:rPr>
          <w:spacing w:val="-2"/>
          <w:szCs w:val="28"/>
          <w:lang w:val="vi-VN"/>
        </w:rPr>
        <w:t xml:space="preserve">trên cơ sở </w:t>
      </w:r>
      <w:r w:rsidR="005B7223" w:rsidRPr="00DA4818">
        <w:rPr>
          <w:spacing w:val="-2"/>
          <w:szCs w:val="28"/>
          <w:lang w:val="nl-NL"/>
        </w:rPr>
        <w:t xml:space="preserve">xóa bỏ </w:t>
      </w:r>
      <w:r w:rsidR="005B7223" w:rsidRPr="00DA4818">
        <w:rPr>
          <w:i/>
          <w:spacing w:val="-2"/>
          <w:szCs w:val="28"/>
          <w:lang w:val="nl-NL"/>
        </w:rPr>
        <w:t>“địa giới hành chính”</w:t>
      </w:r>
      <w:r w:rsidR="005B7223" w:rsidRPr="00DA4818">
        <w:rPr>
          <w:spacing w:val="-2"/>
          <w:szCs w:val="28"/>
          <w:lang w:val="nl-NL"/>
        </w:rPr>
        <w:t xml:space="preserve"> trong khám bệnh, chữa bệnh theo chỉ đạo của Ủy ban </w:t>
      </w:r>
      <w:r w:rsidR="00F04C8A" w:rsidRPr="00DA4818">
        <w:rPr>
          <w:spacing w:val="-2"/>
          <w:szCs w:val="28"/>
          <w:lang w:val="nl-NL"/>
        </w:rPr>
        <w:t>T</w:t>
      </w:r>
      <w:r w:rsidR="005B7223" w:rsidRPr="00DA4818">
        <w:rPr>
          <w:spacing w:val="-2"/>
          <w:szCs w:val="28"/>
          <w:lang w:val="nl-NL"/>
        </w:rPr>
        <w:t xml:space="preserve">hường vụ </w:t>
      </w:r>
      <w:r w:rsidR="005B7223" w:rsidRPr="00DA4818">
        <w:rPr>
          <w:spacing w:val="-2"/>
          <w:szCs w:val="28"/>
          <w:lang w:val="nl-NL"/>
        </w:rPr>
        <w:lastRenderedPageBreak/>
        <w:t>Quốc hội</w:t>
      </w:r>
      <w:r w:rsidRPr="00DA4818">
        <w:rPr>
          <w:spacing w:val="-2"/>
          <w:szCs w:val="28"/>
          <w:lang w:val="nl-NL"/>
        </w:rPr>
        <w:t>,</w:t>
      </w:r>
      <w:r w:rsidR="005B7223" w:rsidRPr="00DA4818">
        <w:rPr>
          <w:spacing w:val="-2"/>
          <w:szCs w:val="28"/>
          <w:lang w:val="nl-NL"/>
        </w:rPr>
        <w:t xml:space="preserve"> </w:t>
      </w:r>
      <w:r w:rsidR="00CC4207" w:rsidRPr="00DA4818">
        <w:rPr>
          <w:spacing w:val="-2"/>
          <w:szCs w:val="28"/>
          <w:lang w:val="vi-VN"/>
        </w:rPr>
        <w:t xml:space="preserve">giữ ổn định </w:t>
      </w:r>
      <w:r w:rsidR="00CC4207" w:rsidRPr="00DA4818">
        <w:rPr>
          <w:spacing w:val="-2"/>
          <w:szCs w:val="28"/>
          <w:lang w:val="pt-BR"/>
        </w:rPr>
        <w:t>mức h</w:t>
      </w:r>
      <w:r w:rsidR="00CC4207" w:rsidRPr="00DA4818">
        <w:rPr>
          <w:rFonts w:hint="eastAsia"/>
          <w:spacing w:val="-2"/>
          <w:szCs w:val="28"/>
          <w:lang w:val="pt-BR"/>
        </w:rPr>
        <w:t>ư</w:t>
      </w:r>
      <w:r w:rsidR="00CC4207" w:rsidRPr="00DA4818">
        <w:rPr>
          <w:spacing w:val="-2"/>
          <w:szCs w:val="28"/>
          <w:lang w:val="pt-BR"/>
        </w:rPr>
        <w:t>ởng</w:t>
      </w:r>
      <w:r w:rsidR="00CC4207" w:rsidRPr="00DA4818">
        <w:rPr>
          <w:spacing w:val="-2"/>
          <w:szCs w:val="28"/>
          <w:lang w:val="vi-VN"/>
        </w:rPr>
        <w:t xml:space="preserve"> bảo hiểm y tế theo quy định của Luật hiện hành và mở rộng với một số trường hợp</w:t>
      </w:r>
      <w:r w:rsidR="005B7223" w:rsidRPr="00DA4818">
        <w:rPr>
          <w:spacing w:val="-2"/>
          <w:szCs w:val="28"/>
          <w:lang w:val="nl-NL"/>
        </w:rPr>
        <w:t xml:space="preserve">, </w:t>
      </w:r>
      <w:r w:rsidR="00F04C8A" w:rsidRPr="00DA4818">
        <w:rPr>
          <w:spacing w:val="-2"/>
          <w:szCs w:val="28"/>
          <w:lang w:val="nl-NL"/>
        </w:rPr>
        <w:t>như</w:t>
      </w:r>
      <w:r w:rsidR="00CC4207" w:rsidRPr="00DA4818">
        <w:rPr>
          <w:spacing w:val="-2"/>
          <w:szCs w:val="28"/>
          <w:lang w:val="vi-VN"/>
        </w:rPr>
        <w:t xml:space="preserve"> bệnh hiếm, bệnh hiểm nghèo... được lên thẳng cơ sở khám bệnh, chữa bệnh cấp chuyên sâu</w:t>
      </w:r>
      <w:r w:rsidR="00F507F4" w:rsidRPr="00DA4818">
        <w:rPr>
          <w:spacing w:val="-2"/>
          <w:szCs w:val="28"/>
          <w:lang w:val="vi-VN"/>
        </w:rPr>
        <w:t xml:space="preserve">. </w:t>
      </w:r>
    </w:p>
    <w:p w:rsidR="005B7223" w:rsidRPr="00DA4818" w:rsidRDefault="00F61BDB" w:rsidP="005D022F">
      <w:pPr>
        <w:tabs>
          <w:tab w:val="right" w:leader="dot" w:pos="8640"/>
        </w:tabs>
        <w:spacing w:after="120"/>
        <w:outlineLvl w:val="0"/>
        <w:rPr>
          <w:spacing w:val="-2"/>
          <w:szCs w:val="28"/>
          <w:lang w:val="vi-VN"/>
        </w:rPr>
      </w:pPr>
      <w:r w:rsidRPr="00DA4818">
        <w:rPr>
          <w:spacing w:val="-2"/>
          <w:szCs w:val="28"/>
          <w:lang w:val="vi-VN"/>
        </w:rPr>
        <w:t>T</w:t>
      </w:r>
      <w:r w:rsidR="007E06AC" w:rsidRPr="00DA4818">
        <w:rPr>
          <w:spacing w:val="-2"/>
          <w:szCs w:val="28"/>
          <w:lang w:val="vi-VN"/>
        </w:rPr>
        <w:t xml:space="preserve">iếp thu ý kiến đại biểu, </w:t>
      </w:r>
      <w:r w:rsidR="00F268A3" w:rsidRPr="00DA4818">
        <w:rPr>
          <w:spacing w:val="-2"/>
          <w:szCs w:val="28"/>
          <w:lang w:val="vi-VN"/>
        </w:rPr>
        <w:t xml:space="preserve">đối tượng là sĩ quan, quân nhân chuyên nghiệp, sĩ quan, hạ sĩ quan công an nhân dân, người làm công tác cơ yếu đang hưởng lương hưu </w:t>
      </w:r>
      <w:r w:rsidR="009D2090" w:rsidRPr="00DA4818">
        <w:rPr>
          <w:spacing w:val="-2"/>
          <w:szCs w:val="28"/>
          <w:lang w:val="vi-VN"/>
        </w:rPr>
        <w:t xml:space="preserve">tiếp tục hưởng mức </w:t>
      </w:r>
      <w:r w:rsidR="00756826" w:rsidRPr="00DA4818">
        <w:rPr>
          <w:spacing w:val="-2"/>
          <w:szCs w:val="28"/>
          <w:lang w:val="vi-VN"/>
        </w:rPr>
        <w:t xml:space="preserve">bảo hiểm y tế chi trả 95% chi phí khám bệnh, chữa bệnh như </w:t>
      </w:r>
      <w:r w:rsidR="009D2090" w:rsidRPr="00DA4818">
        <w:rPr>
          <w:spacing w:val="-2"/>
          <w:szCs w:val="28"/>
          <w:lang w:val="vi-VN"/>
        </w:rPr>
        <w:t xml:space="preserve"> quy định  hiện hành </w:t>
      </w:r>
      <w:r w:rsidRPr="00DA4818">
        <w:rPr>
          <w:spacing w:val="-2"/>
          <w:szCs w:val="28"/>
          <w:lang w:val="vi-VN"/>
        </w:rPr>
        <w:t xml:space="preserve"> để bảo đảm </w:t>
      </w:r>
      <w:r w:rsidRPr="00DA4818">
        <w:rPr>
          <w:rFonts w:eastAsia="Times New Roman" w:cs="Times New Roman"/>
          <w:szCs w:val="28"/>
          <w:lang w:val="nl-NL"/>
        </w:rPr>
        <w:t>sự công bằng với các đối tượng hưu trí khác</w:t>
      </w:r>
      <w:r w:rsidRPr="00DA4818">
        <w:rPr>
          <w:spacing w:val="-2"/>
          <w:szCs w:val="28"/>
          <w:lang w:val="vi-VN"/>
        </w:rPr>
        <w:t xml:space="preserve"> </w:t>
      </w:r>
      <w:r w:rsidR="00756826" w:rsidRPr="00DA4818">
        <w:rPr>
          <w:spacing w:val="-2"/>
          <w:szCs w:val="28"/>
          <w:lang w:val="vi-VN"/>
        </w:rPr>
        <w:t>(</w:t>
      </w:r>
      <w:r w:rsidR="00F268A3" w:rsidRPr="00DA4818">
        <w:rPr>
          <w:i/>
          <w:iCs/>
          <w:spacing w:val="-2"/>
          <w:szCs w:val="28"/>
          <w:lang w:val="vi-VN"/>
        </w:rPr>
        <w:t xml:space="preserve">không </w:t>
      </w:r>
      <w:r w:rsidR="009D2090" w:rsidRPr="00DA4818">
        <w:rPr>
          <w:i/>
          <w:iCs/>
          <w:spacing w:val="-2"/>
          <w:szCs w:val="28"/>
          <w:lang w:val="vi-VN"/>
        </w:rPr>
        <w:t>thuộc diện được chi trả</w:t>
      </w:r>
      <w:r w:rsidR="00F268A3" w:rsidRPr="00DA4818">
        <w:rPr>
          <w:i/>
          <w:iCs/>
          <w:spacing w:val="-2"/>
          <w:szCs w:val="28"/>
          <w:lang w:val="vi-VN"/>
        </w:rPr>
        <w:t xml:space="preserve"> 100% </w:t>
      </w:r>
      <w:r w:rsidR="00234BED" w:rsidRPr="00DA4818">
        <w:rPr>
          <w:i/>
          <w:iCs/>
          <w:spacing w:val="-2"/>
          <w:szCs w:val="28"/>
          <w:lang w:val="vi-VN"/>
        </w:rPr>
        <w:t>như các đối tượng đang tại ngũ, bà mẹ Việt Nam anh hùng, người có công với cách mạng, trẻ em…</w:t>
      </w:r>
      <w:r w:rsidR="00756826" w:rsidRPr="00DA4818">
        <w:rPr>
          <w:spacing w:val="-2"/>
          <w:szCs w:val="28"/>
          <w:lang w:val="vi-VN"/>
        </w:rPr>
        <w:t>).</w:t>
      </w:r>
    </w:p>
    <w:p w:rsidR="00E12E12" w:rsidRPr="00DA4818" w:rsidRDefault="00F04C8A" w:rsidP="005D022F">
      <w:pPr>
        <w:tabs>
          <w:tab w:val="right" w:leader="dot" w:pos="8640"/>
        </w:tabs>
        <w:spacing w:after="120"/>
        <w:outlineLvl w:val="0"/>
        <w:rPr>
          <w:b/>
          <w:szCs w:val="28"/>
          <w:lang w:val="vi-VN"/>
        </w:rPr>
      </w:pPr>
      <w:r w:rsidRPr="00DA4818">
        <w:rPr>
          <w:b/>
          <w:szCs w:val="28"/>
          <w:lang w:val="vi-VN"/>
        </w:rPr>
        <w:t>3</w:t>
      </w:r>
      <w:r w:rsidR="00B25C42" w:rsidRPr="00DA4818">
        <w:rPr>
          <w:b/>
          <w:szCs w:val="28"/>
          <w:lang w:val="vi-VN"/>
        </w:rPr>
        <w:t xml:space="preserve">. </w:t>
      </w:r>
      <w:r w:rsidR="00E12E12" w:rsidRPr="00DA4818">
        <w:rPr>
          <w:b/>
          <w:szCs w:val="28"/>
          <w:lang w:val="vi-VN"/>
        </w:rPr>
        <w:t>Về quản lý</w:t>
      </w:r>
      <w:r w:rsidR="003A34E4" w:rsidRPr="00DA4818">
        <w:rPr>
          <w:b/>
          <w:szCs w:val="28"/>
          <w:lang w:val="vi-VN"/>
        </w:rPr>
        <w:t>,</w:t>
      </w:r>
      <w:r w:rsidR="00E12E12" w:rsidRPr="00DA4818">
        <w:rPr>
          <w:b/>
          <w:szCs w:val="28"/>
          <w:lang w:val="vi-VN"/>
        </w:rPr>
        <w:t xml:space="preserve"> sử dụng quỹ bảo hiểm y tế </w:t>
      </w:r>
    </w:p>
    <w:p w:rsidR="00613379" w:rsidRPr="00DA4818" w:rsidRDefault="003A34E4" w:rsidP="005D022F">
      <w:pPr>
        <w:tabs>
          <w:tab w:val="right" w:leader="dot" w:pos="8640"/>
        </w:tabs>
        <w:spacing w:after="120"/>
        <w:outlineLvl w:val="0"/>
        <w:rPr>
          <w:szCs w:val="28"/>
          <w:lang w:val="vi-VN"/>
        </w:rPr>
      </w:pPr>
      <w:r w:rsidRPr="00DA4818">
        <w:rPr>
          <w:szCs w:val="28"/>
          <w:lang w:val="vi-VN"/>
        </w:rPr>
        <w:t>Tiếp thu ý kiến đại biểu Quốc hội, dự thảo Luật quy định tăng mức phân bổ từ nguồn thu bảo hiểm y tế để chi cho hoạt động khám bệnh, chữa bệnh lên 92%, giảm số tiền dành cho quỹ dự phòng, tổ chức hoạt động quỹ bảo hiểm y tế xuống 8%</w:t>
      </w:r>
      <w:r w:rsidR="00F20381" w:rsidRPr="00DA4818">
        <w:rPr>
          <w:szCs w:val="28"/>
          <w:lang w:val="vi-VN"/>
        </w:rPr>
        <w:t>,</w:t>
      </w:r>
      <w:r w:rsidRPr="00DA4818">
        <w:rPr>
          <w:szCs w:val="28"/>
          <w:lang w:val="vi-VN"/>
        </w:rPr>
        <w:t xml:space="preserve"> trong đó</w:t>
      </w:r>
      <w:r w:rsidR="00F20381" w:rsidRPr="00DA4818">
        <w:rPr>
          <w:szCs w:val="28"/>
          <w:lang w:val="vi-VN"/>
        </w:rPr>
        <w:t>,</w:t>
      </w:r>
      <w:r w:rsidRPr="00DA4818">
        <w:rPr>
          <w:szCs w:val="28"/>
          <w:lang w:val="vi-VN"/>
        </w:rPr>
        <w:t xml:space="preserve"> dành tối thiểu 4% số tiền đóng bảo hiểm y tế cho quỹ dự phòng</w:t>
      </w:r>
      <w:r w:rsidR="00F04C8A" w:rsidRPr="00DA4818">
        <w:rPr>
          <w:szCs w:val="28"/>
          <w:lang w:val="vi-VN"/>
        </w:rPr>
        <w:t xml:space="preserve"> </w:t>
      </w:r>
      <w:r w:rsidRPr="00DA4818">
        <w:rPr>
          <w:szCs w:val="28"/>
          <w:lang w:val="vi-VN"/>
        </w:rPr>
        <w:t xml:space="preserve">và quy định rõ thời hạn thông báo kết quả giám định chi phí khám bệnh, chữa bệnh để khắc phục vướng mắc về kéo dài thời gian thanh, quyết toán tại Điều 35. Đồng thời, quy định </w:t>
      </w:r>
      <w:r w:rsidR="00E12E12" w:rsidRPr="00DA4818">
        <w:rPr>
          <w:szCs w:val="28"/>
          <w:lang w:val="vi-VN"/>
        </w:rPr>
        <w:t xml:space="preserve">việc mua thuốc, thiết bị y tế và </w:t>
      </w:r>
      <w:r w:rsidR="00B25C42" w:rsidRPr="00DA4818">
        <w:rPr>
          <w:szCs w:val="28"/>
          <w:lang w:val="vi-VN"/>
        </w:rPr>
        <w:t>thanh toán thuốc, thiết bị y tế</w:t>
      </w:r>
      <w:r w:rsidR="00E12E12" w:rsidRPr="00DA4818">
        <w:rPr>
          <w:szCs w:val="28"/>
          <w:lang w:val="vi-VN"/>
        </w:rPr>
        <w:t>, chuyển dịch vụ cận lâm sàng</w:t>
      </w:r>
      <w:r w:rsidR="00B25C42" w:rsidRPr="00DA4818">
        <w:rPr>
          <w:szCs w:val="28"/>
          <w:lang w:val="vi-VN"/>
        </w:rPr>
        <w:t xml:space="preserve"> trong trường hợp cơ sở khám bệnh, chữa bệnh thiếu thuốc, thiết bị y tế để điều trị cho người bệnh và </w:t>
      </w:r>
      <w:r w:rsidR="00E12E12" w:rsidRPr="00DA4818">
        <w:rPr>
          <w:szCs w:val="28"/>
          <w:lang w:val="vi-VN"/>
        </w:rPr>
        <w:t>quy định cơ chế để quỹ bảo hiểm y tế thanh toán cho các trường hợp này</w:t>
      </w:r>
      <w:r w:rsidRPr="00DA4818">
        <w:rPr>
          <w:szCs w:val="28"/>
          <w:lang w:val="vi-VN"/>
        </w:rPr>
        <w:t xml:space="preserve"> tại Điều 31.</w:t>
      </w:r>
    </w:p>
    <w:p w:rsidR="00043443" w:rsidRPr="00DA4818" w:rsidRDefault="00613379" w:rsidP="005D022F">
      <w:pPr>
        <w:tabs>
          <w:tab w:val="right" w:leader="dot" w:pos="8640"/>
        </w:tabs>
        <w:spacing w:after="120"/>
        <w:outlineLvl w:val="0"/>
        <w:rPr>
          <w:szCs w:val="28"/>
          <w:lang w:val="vi-VN"/>
        </w:rPr>
      </w:pPr>
      <w:r w:rsidRPr="00DA4818">
        <w:rPr>
          <w:szCs w:val="28"/>
          <w:lang w:val="vi-VN"/>
        </w:rPr>
        <w:t xml:space="preserve">Để khắc phục tình trạng không đủ căn cứ đánh giá tính hợp lý của hoạt động cung cấp dịch vụ khám bệnh, chữa bệnh, dự thảo Luật đã giao Bộ trưởng Bộ Y tế quy định việc </w:t>
      </w:r>
      <w:r w:rsidRPr="00DA4818">
        <w:rPr>
          <w:rFonts w:eastAsia="Calibri"/>
          <w:spacing w:val="-2"/>
          <w:szCs w:val="28"/>
          <w:lang w:val="vi-VN"/>
        </w:rPr>
        <w:t>đánh giá sự hợp lý của việc cung cấp dịch vụ khám bệnh, chữa bệnh</w:t>
      </w:r>
      <w:r w:rsidR="00AD5FD4" w:rsidRPr="00DA4818">
        <w:rPr>
          <w:rFonts w:eastAsia="Calibri"/>
          <w:spacing w:val="-2"/>
          <w:szCs w:val="28"/>
          <w:lang w:val="vi-VN"/>
        </w:rPr>
        <w:t xml:space="preserve"> tại Điều 6.</w:t>
      </w:r>
      <w:r w:rsidR="003A34E4" w:rsidRPr="00DA4818">
        <w:rPr>
          <w:rFonts w:eastAsia="Calibri"/>
          <w:spacing w:val="-2"/>
          <w:szCs w:val="28"/>
          <w:lang w:val="vi-VN"/>
        </w:rPr>
        <w:t xml:space="preserve"> </w:t>
      </w:r>
      <w:r w:rsidR="00043443" w:rsidRPr="00DA4818">
        <w:rPr>
          <w:szCs w:val="28"/>
          <w:lang w:val="vi-VN"/>
        </w:rPr>
        <w:t xml:space="preserve">Bên cạnh đó, dự thảo Luật </w:t>
      </w:r>
      <w:r w:rsidR="00043443" w:rsidRPr="00DA4818">
        <w:rPr>
          <w:spacing w:val="-2"/>
          <w:szCs w:val="28"/>
          <w:lang w:val="vi-VN"/>
        </w:rPr>
        <w:t xml:space="preserve">quy định </w:t>
      </w:r>
      <w:r w:rsidR="00702028" w:rsidRPr="00DA4818">
        <w:rPr>
          <w:spacing w:val="-2"/>
          <w:szCs w:val="28"/>
          <w:lang w:val="vi-VN"/>
        </w:rPr>
        <w:t>K</w:t>
      </w:r>
      <w:r w:rsidR="00043443" w:rsidRPr="00DA4818">
        <w:rPr>
          <w:spacing w:val="-2"/>
          <w:szCs w:val="28"/>
          <w:lang w:val="vi-VN"/>
        </w:rPr>
        <w:t xml:space="preserve">iểm toán nhà nước kiểm toán Báo cáo quyết toán chi tổ chức </w:t>
      </w:r>
      <w:r w:rsidR="00702028" w:rsidRPr="00DA4818">
        <w:rPr>
          <w:spacing w:val="-2"/>
          <w:szCs w:val="28"/>
          <w:lang w:val="vi-VN"/>
        </w:rPr>
        <w:t>trong đó có chi phí quản lý quỹ</w:t>
      </w:r>
      <w:r w:rsidR="00043443" w:rsidRPr="00DA4818">
        <w:rPr>
          <w:spacing w:val="-2"/>
          <w:szCs w:val="28"/>
          <w:lang w:val="vi-VN"/>
        </w:rPr>
        <w:t xml:space="preserve"> bảo hiểm y tế của </w:t>
      </w:r>
      <w:r w:rsidR="00702028" w:rsidRPr="00DA4818">
        <w:rPr>
          <w:spacing w:val="-2"/>
          <w:szCs w:val="28"/>
          <w:lang w:val="vi-VN"/>
        </w:rPr>
        <w:t>C</w:t>
      </w:r>
      <w:r w:rsidR="00043443" w:rsidRPr="00DA4818">
        <w:rPr>
          <w:spacing w:val="-2"/>
          <w:szCs w:val="28"/>
          <w:lang w:val="vi-VN"/>
        </w:rPr>
        <w:t>ơ quan bảo hiểm xã hội hằng năm tại khoản 2 Điều 10 để đồng bộ với Luật Bảo hiểm xã hội.</w:t>
      </w:r>
    </w:p>
    <w:p w:rsidR="00C9538B" w:rsidRPr="00DA4818" w:rsidRDefault="00F04C8A" w:rsidP="005D022F">
      <w:pPr>
        <w:tabs>
          <w:tab w:val="right" w:leader="dot" w:pos="8640"/>
        </w:tabs>
        <w:spacing w:after="120"/>
        <w:outlineLvl w:val="0"/>
        <w:rPr>
          <w:rFonts w:eastAsia="Calibri"/>
          <w:lang w:val="vi-VN"/>
        </w:rPr>
      </w:pPr>
      <w:r w:rsidRPr="00DA4818">
        <w:rPr>
          <w:b/>
          <w:spacing w:val="-2"/>
          <w:szCs w:val="28"/>
          <w:lang w:val="vi-VN"/>
        </w:rPr>
        <w:t>4</w:t>
      </w:r>
      <w:r w:rsidR="00CC4207" w:rsidRPr="00DA4818">
        <w:rPr>
          <w:b/>
          <w:spacing w:val="-2"/>
          <w:szCs w:val="28"/>
          <w:lang w:val="vi-VN"/>
        </w:rPr>
        <w:t>.</w:t>
      </w:r>
      <w:r w:rsidR="00F507F4" w:rsidRPr="00DA4818">
        <w:rPr>
          <w:b/>
          <w:spacing w:val="-2"/>
          <w:szCs w:val="28"/>
          <w:lang w:val="vi-VN"/>
        </w:rPr>
        <w:t xml:space="preserve"> </w:t>
      </w:r>
      <w:r w:rsidR="00AD5FD4" w:rsidRPr="00DA4818">
        <w:rPr>
          <w:spacing w:val="-2"/>
          <w:szCs w:val="28"/>
          <w:lang w:val="vi-VN"/>
        </w:rPr>
        <w:t xml:space="preserve">Ngoài ra, </w:t>
      </w:r>
      <w:r w:rsidR="00C01452" w:rsidRPr="00DA4818">
        <w:rPr>
          <w:spacing w:val="-2"/>
          <w:szCs w:val="28"/>
          <w:lang w:val="vi-VN"/>
        </w:rPr>
        <w:t xml:space="preserve">tiếp thu ý kiến đại biểu, dự thảo Luật </w:t>
      </w:r>
      <w:r w:rsidR="00F4577D" w:rsidRPr="00DA4818">
        <w:rPr>
          <w:spacing w:val="-2"/>
          <w:szCs w:val="28"/>
          <w:lang w:val="vi-VN"/>
        </w:rPr>
        <w:t xml:space="preserve">bổ sung </w:t>
      </w:r>
      <w:r w:rsidR="00C01452" w:rsidRPr="00DA4818">
        <w:rPr>
          <w:rFonts w:eastAsia="Times New Roman" w:cs="Times New Roman"/>
          <w:szCs w:val="28"/>
          <w:lang w:val="vi-VN" w:eastAsia="vi-VN"/>
        </w:rPr>
        <w:t>quy định</w:t>
      </w:r>
      <w:r w:rsidR="00FD5ACA" w:rsidRPr="00DA4818">
        <w:rPr>
          <w:spacing w:val="-2"/>
          <w:szCs w:val="28"/>
          <w:lang w:val="vi-VN"/>
        </w:rPr>
        <w:t xml:space="preserve"> việc </w:t>
      </w:r>
      <w:r w:rsidR="00CC4207" w:rsidRPr="00DA4818">
        <w:rPr>
          <w:rFonts w:eastAsia="Calibri"/>
          <w:spacing w:val="-2"/>
          <w:szCs w:val="28"/>
          <w:lang w:val="vi-VN"/>
        </w:rPr>
        <w:t xml:space="preserve">ứng dụng công nghệ thông tin, chuyển đổi số, chia sẻ dữ liệu trong lĩnh vực bảo hiểm y tế, </w:t>
      </w:r>
      <w:r w:rsidR="00FD5ACA" w:rsidRPr="00DA4818">
        <w:rPr>
          <w:rFonts w:eastAsia="Calibri"/>
          <w:spacing w:val="-2"/>
          <w:szCs w:val="28"/>
          <w:lang w:val="vi-VN"/>
        </w:rPr>
        <w:t xml:space="preserve">thực hiện </w:t>
      </w:r>
      <w:r w:rsidR="00CC4207" w:rsidRPr="00DA4818">
        <w:rPr>
          <w:rFonts w:eastAsia="Calibri"/>
          <w:spacing w:val="-2"/>
          <w:szCs w:val="28"/>
          <w:lang w:val="vi-VN"/>
        </w:rPr>
        <w:t xml:space="preserve">việc liên thông và sử dụng kết quả cận lâm sàng liên thông giữa các cơ sở khám bệnh, chữa bệnh phù hợp yêu cầu chuyên môn </w:t>
      </w:r>
      <w:r w:rsidR="00FD5ACA" w:rsidRPr="00DA4818">
        <w:rPr>
          <w:rFonts w:eastAsia="Calibri"/>
          <w:spacing w:val="-2"/>
          <w:szCs w:val="28"/>
          <w:lang w:val="vi-VN"/>
        </w:rPr>
        <w:t>trước 01/01/2027; giao Bộ trưởng Bộ Y tế quy định</w:t>
      </w:r>
      <w:r w:rsidR="00CC4207" w:rsidRPr="00DA4818">
        <w:rPr>
          <w:rFonts w:eastAsia="Calibri"/>
          <w:spacing w:val="-2"/>
          <w:szCs w:val="28"/>
          <w:lang w:val="vi-VN"/>
        </w:rPr>
        <w:t xml:space="preserve"> giải pháp tăng cường năng lực khám bệnh, chữa bệnh bảo hiểm y tế cho y tế cơ sở</w:t>
      </w:r>
      <w:r w:rsidR="00FD5ACA" w:rsidRPr="00DA4818">
        <w:rPr>
          <w:rFonts w:eastAsia="Calibri"/>
          <w:spacing w:val="-2"/>
          <w:szCs w:val="28"/>
          <w:lang w:val="vi-VN"/>
        </w:rPr>
        <w:t>,</w:t>
      </w:r>
      <w:r w:rsidR="00CC4207" w:rsidRPr="00DA4818">
        <w:rPr>
          <w:rFonts w:eastAsia="Calibri"/>
          <w:spacing w:val="-2"/>
          <w:szCs w:val="28"/>
          <w:lang w:val="vi-VN"/>
        </w:rPr>
        <w:t xml:space="preserve"> </w:t>
      </w:r>
      <w:r w:rsidR="00CC4207" w:rsidRPr="00DA4818">
        <w:rPr>
          <w:szCs w:val="28"/>
          <w:lang w:val="vi-VN"/>
        </w:rPr>
        <w:t>ban hành nguyên tắc, tiêu chí xây dựng danh mục thuốc, thiết bị y tế, dịch vụ y tế thuộc phạm vi chi trả của bảo hiểm y tế</w:t>
      </w:r>
      <w:r w:rsidR="00FD5ACA" w:rsidRPr="00DA4818">
        <w:rPr>
          <w:szCs w:val="28"/>
          <w:lang w:val="vi-VN"/>
        </w:rPr>
        <w:t xml:space="preserve">; </w:t>
      </w:r>
      <w:r w:rsidR="000E00E4" w:rsidRPr="00DA4818">
        <w:rPr>
          <w:rFonts w:eastAsia="Times New Roman" w:cs="Times New Roman"/>
          <w:bCs/>
          <w:szCs w:val="28"/>
          <w:lang w:val="vi-VN"/>
        </w:rPr>
        <w:t>giảm thời gian cấp thẻ bảo hiểm y tế từ 10 ngày xuống 05 ngày làm việc</w:t>
      </w:r>
      <w:r w:rsidR="00DA4FA4" w:rsidRPr="00DA4818">
        <w:rPr>
          <w:rFonts w:eastAsia="Times New Roman" w:cs="Times New Roman"/>
          <w:bCs/>
          <w:szCs w:val="28"/>
          <w:lang w:val="vi-VN"/>
        </w:rPr>
        <w:t xml:space="preserve">; </w:t>
      </w:r>
      <w:r w:rsidR="00DA4FA4" w:rsidRPr="00DA4818">
        <w:rPr>
          <w:spacing w:val="-2"/>
          <w:szCs w:val="28"/>
          <w:lang w:val="vi-VN"/>
        </w:rPr>
        <w:t>bổ sung quy định về cấp thẻ bảo hiểm y tế điện tử tại Điều 17</w:t>
      </w:r>
      <w:r w:rsidR="00043443" w:rsidRPr="00DA4818">
        <w:rPr>
          <w:spacing w:val="-2"/>
          <w:szCs w:val="28"/>
          <w:lang w:val="vi-VN"/>
        </w:rPr>
        <w:t xml:space="preserve">; </w:t>
      </w:r>
      <w:r w:rsidR="00043443" w:rsidRPr="00DA4818">
        <w:rPr>
          <w:rFonts w:eastAsia="Times New Roman" w:cs="Times New Roman"/>
          <w:szCs w:val="28"/>
          <w:lang w:val="vi-VN"/>
        </w:rPr>
        <w:t>b</w:t>
      </w:r>
      <w:r w:rsidR="00703DC4" w:rsidRPr="00DA4818">
        <w:rPr>
          <w:rFonts w:eastAsia="Times New Roman" w:cs="Times New Roman"/>
          <w:szCs w:val="28"/>
          <w:lang w:val="vi-VN"/>
        </w:rPr>
        <w:t>ổ sung trường hợp tạm dừng hợp đồng tại khoản 3 Điều 25 cho phù hợp với thực tiễn</w:t>
      </w:r>
      <w:r w:rsidR="00043443" w:rsidRPr="00DA4818">
        <w:rPr>
          <w:rFonts w:eastAsia="Times New Roman" w:cs="Times New Roman"/>
          <w:szCs w:val="28"/>
          <w:lang w:val="vi-VN"/>
        </w:rPr>
        <w:t xml:space="preserve">; </w:t>
      </w:r>
      <w:r w:rsidR="000E00E4" w:rsidRPr="00DA4818">
        <w:rPr>
          <w:rFonts w:eastAsia="Times New Roman" w:cs="Times New Roman"/>
          <w:bCs/>
          <w:szCs w:val="28"/>
          <w:lang w:val="vi-VN"/>
        </w:rPr>
        <w:t>làm rõ khái niệm thanh toán theo giá dịch vụ và nhóm chẩn đoán tại các điểm b, c khoản 1 Điều 30</w:t>
      </w:r>
      <w:r w:rsidR="00043443" w:rsidRPr="00DA4818">
        <w:rPr>
          <w:rFonts w:eastAsia="Times New Roman" w:cs="Times New Roman"/>
          <w:bCs/>
          <w:szCs w:val="28"/>
          <w:lang w:val="vi-VN"/>
        </w:rPr>
        <w:t>;</w:t>
      </w:r>
      <w:r w:rsidR="00F4577D" w:rsidRPr="00DA4818">
        <w:rPr>
          <w:spacing w:val="-2"/>
          <w:szCs w:val="28"/>
          <w:lang w:val="vi-VN"/>
        </w:rPr>
        <w:t xml:space="preserve"> sửa đổi Điều 49 về xử lý vi phạm để quy định có tính khả thi; </w:t>
      </w:r>
      <w:r w:rsidR="00043443" w:rsidRPr="00DA4818">
        <w:rPr>
          <w:rFonts w:eastAsia="Times New Roman" w:cs="Times New Roman"/>
          <w:bCs/>
          <w:szCs w:val="28"/>
          <w:lang w:val="vi-VN"/>
        </w:rPr>
        <w:t xml:space="preserve"> </w:t>
      </w:r>
      <w:r w:rsidR="00043443" w:rsidRPr="00DA4818">
        <w:rPr>
          <w:rFonts w:eastAsia="Times New Roman" w:cs="Times New Roman"/>
          <w:bCs/>
          <w:spacing w:val="-4"/>
          <w:szCs w:val="28"/>
          <w:lang w:val="vi-VN"/>
        </w:rPr>
        <w:t>c</w:t>
      </w:r>
      <w:r w:rsidR="00C17EE3" w:rsidRPr="00DA4818">
        <w:rPr>
          <w:rFonts w:eastAsia="Times New Roman" w:cs="Times New Roman"/>
          <w:bCs/>
          <w:szCs w:val="28"/>
          <w:lang w:val="vi-VN"/>
        </w:rPr>
        <w:t xml:space="preserve">hỉnh lý </w:t>
      </w:r>
      <w:r w:rsidR="00C17EE3" w:rsidRPr="00DA4818">
        <w:rPr>
          <w:rFonts w:eastAsia="Times New Roman" w:cs="Times New Roman"/>
          <w:szCs w:val="28"/>
          <w:lang w:val="vi-VN" w:eastAsia="vi-VN"/>
        </w:rPr>
        <w:t>hiệu lực thi hành và điều khoản chuyển tiếp</w:t>
      </w:r>
      <w:r w:rsidR="00C9538B" w:rsidRPr="00DA4818">
        <w:rPr>
          <w:rFonts w:eastAsia="Calibri"/>
          <w:lang w:val="vi-VN"/>
        </w:rPr>
        <w:t>.</w:t>
      </w:r>
    </w:p>
    <w:p w:rsidR="001473A8" w:rsidRPr="00DA4818" w:rsidRDefault="00F04C8A" w:rsidP="005D022F">
      <w:pPr>
        <w:spacing w:after="120"/>
        <w:rPr>
          <w:rFonts w:eastAsia="Calibri"/>
          <w:lang w:val="nl-NL"/>
        </w:rPr>
      </w:pPr>
      <w:r w:rsidRPr="00DA4818">
        <w:rPr>
          <w:rFonts w:eastAsia="Calibri"/>
          <w:b/>
          <w:lang w:val="vi-VN"/>
        </w:rPr>
        <w:t>5</w:t>
      </w:r>
      <w:r w:rsidR="00FD45D5" w:rsidRPr="00DA4818">
        <w:rPr>
          <w:rFonts w:eastAsia="Calibri"/>
          <w:b/>
          <w:lang w:val="vi-VN"/>
        </w:rPr>
        <w:t>.</w:t>
      </w:r>
      <w:r w:rsidR="00FD45D5" w:rsidRPr="00DA4818">
        <w:rPr>
          <w:rFonts w:eastAsia="Calibri"/>
          <w:lang w:val="vi-VN"/>
        </w:rPr>
        <w:t xml:space="preserve"> </w:t>
      </w:r>
      <w:r w:rsidR="001473A8" w:rsidRPr="00DA4818">
        <w:rPr>
          <w:rFonts w:eastAsia="Calibri"/>
          <w:lang w:val="vi-VN"/>
        </w:rPr>
        <w:t xml:space="preserve">Trong quá trình tiếp thu, chỉnh lý dự thảo Luật, </w:t>
      </w:r>
      <w:r w:rsidR="00484113" w:rsidRPr="00DA4818">
        <w:rPr>
          <w:rFonts w:eastAsia="Calibri"/>
          <w:lang w:val="vi-VN"/>
        </w:rPr>
        <w:t xml:space="preserve">Thường trực </w:t>
      </w:r>
      <w:r w:rsidR="001473A8" w:rsidRPr="00DA4818">
        <w:rPr>
          <w:rFonts w:eastAsia="Calibri"/>
          <w:lang w:val="vi-VN"/>
        </w:rPr>
        <w:t>Ủy ban Xã hội đã quán triệt thực hiện tối đa phương pháp tiếp cận mới, tư duy mới trong việc xây dựng pháp luật</w:t>
      </w:r>
      <w:r w:rsidR="00E4581C" w:rsidRPr="00DA4818">
        <w:rPr>
          <w:rFonts w:eastAsia="Calibri"/>
          <w:lang w:val="vi-VN"/>
        </w:rPr>
        <w:t xml:space="preserve"> đã được nêu  cụ thể trong dự thảo Báo cáo của Ủy ban Thường </w:t>
      </w:r>
      <w:r w:rsidR="00E4581C" w:rsidRPr="00DA4818">
        <w:rPr>
          <w:rFonts w:eastAsia="Calibri"/>
          <w:lang w:val="vi-VN"/>
        </w:rPr>
        <w:lastRenderedPageBreak/>
        <w:t>vụ Quốc hội tiếp thu, giải trình và chỉnh lý dự thảo Luật</w:t>
      </w:r>
      <w:r w:rsidR="00053B2F" w:rsidRPr="00DA4818">
        <w:rPr>
          <w:rFonts w:eastAsia="Calibri"/>
          <w:i/>
          <w:iCs/>
          <w:lang w:val="vi-VN"/>
        </w:rPr>
        <w:t>.</w:t>
      </w:r>
      <w:r w:rsidR="00053B2F" w:rsidRPr="00DA4818">
        <w:rPr>
          <w:rFonts w:eastAsia="Calibri"/>
          <w:lang w:val="vi-VN"/>
        </w:rPr>
        <w:t xml:space="preserve"> T</w:t>
      </w:r>
      <w:r w:rsidR="00BC4B64" w:rsidRPr="00DA4818">
        <w:rPr>
          <w:rFonts w:eastAsia="Calibri"/>
          <w:lang w:val="vi-VN"/>
        </w:rPr>
        <w:t>uy nhiên,</w:t>
      </w:r>
      <w:r w:rsidR="001473A8" w:rsidRPr="00DA4818">
        <w:rPr>
          <w:rFonts w:eastAsia="Calibri"/>
          <w:lang w:val="nl-NL"/>
        </w:rPr>
        <w:t xml:space="preserve"> </w:t>
      </w:r>
      <w:r w:rsidR="001473A8" w:rsidRPr="00DA4818">
        <w:rPr>
          <w:rFonts w:eastAsia="Calibri"/>
          <w:lang w:val="vi-VN"/>
        </w:rPr>
        <w:t xml:space="preserve">một số nội dung </w:t>
      </w:r>
      <w:r w:rsidR="001473A8" w:rsidRPr="00DA4818">
        <w:rPr>
          <w:rFonts w:eastAsia="Calibri"/>
          <w:lang w:val="nl-NL"/>
        </w:rPr>
        <w:t xml:space="preserve">về thủ tục hành chính, trình tự, hồ sơ xin được tiếp tục giữ tại dự thảo Luật </w:t>
      </w:r>
      <w:r w:rsidR="001900AC" w:rsidRPr="00DA4818">
        <w:rPr>
          <w:rFonts w:eastAsia="Calibri"/>
          <w:lang w:val="nl-NL"/>
        </w:rPr>
        <w:t xml:space="preserve">sửa đổi, bổ sung một số điều của dự thảo Luật </w:t>
      </w:r>
      <w:r w:rsidR="006C3162" w:rsidRPr="00DA4818">
        <w:rPr>
          <w:rFonts w:eastAsia="Calibri"/>
          <w:lang w:val="nl-NL"/>
        </w:rPr>
        <w:t>Bảo hiểm y tế</w:t>
      </w:r>
      <w:r w:rsidR="001900AC" w:rsidRPr="00DA4818">
        <w:rPr>
          <w:rFonts w:eastAsia="Calibri"/>
          <w:lang w:val="nl-NL"/>
        </w:rPr>
        <w:t xml:space="preserve"> </w:t>
      </w:r>
      <w:r w:rsidR="001473A8" w:rsidRPr="00DA4818">
        <w:rPr>
          <w:rFonts w:eastAsia="Calibri"/>
          <w:lang w:val="nl-NL"/>
        </w:rPr>
        <w:t>để bảo đảm sự thống nhất</w:t>
      </w:r>
      <w:r w:rsidR="001E0837" w:rsidRPr="00DA4818">
        <w:rPr>
          <w:rFonts w:eastAsia="Calibri"/>
          <w:lang w:val="nl-NL"/>
        </w:rPr>
        <w:t>, đồng bộ</w:t>
      </w:r>
      <w:r w:rsidR="001473A8" w:rsidRPr="00DA4818">
        <w:rPr>
          <w:rFonts w:eastAsia="Calibri"/>
          <w:lang w:val="nl-NL"/>
        </w:rPr>
        <w:t xml:space="preserve"> với các quy định khác của Luật </w:t>
      </w:r>
      <w:r w:rsidR="006C3162" w:rsidRPr="00DA4818">
        <w:rPr>
          <w:rFonts w:eastAsia="Calibri"/>
          <w:lang w:val="nl-NL"/>
        </w:rPr>
        <w:t>Bảo hiểm y tế hiện hành</w:t>
      </w:r>
      <w:r w:rsidR="001473A8" w:rsidRPr="00DA4818">
        <w:rPr>
          <w:rFonts w:eastAsia="Calibri"/>
          <w:lang w:val="nl-NL"/>
        </w:rPr>
        <w:t xml:space="preserve">. </w:t>
      </w:r>
    </w:p>
    <w:p w:rsidR="00132D87" w:rsidRPr="00DA4818" w:rsidRDefault="00F04C8A" w:rsidP="005D022F">
      <w:pPr>
        <w:spacing w:after="120"/>
        <w:rPr>
          <w:rFonts w:eastAsia="Times New Roman" w:cs="Times New Roman"/>
          <w:szCs w:val="28"/>
          <w:lang w:val="vi-VN" w:eastAsia="vi-VN"/>
        </w:rPr>
      </w:pPr>
      <w:r w:rsidRPr="00DA4818">
        <w:rPr>
          <w:rFonts w:eastAsia="Times New Roman" w:cs="Times New Roman"/>
          <w:b/>
          <w:szCs w:val="28"/>
          <w:lang w:val="nl-NL" w:eastAsia="vi-VN"/>
        </w:rPr>
        <w:t>6</w:t>
      </w:r>
      <w:r w:rsidR="001473A8" w:rsidRPr="00DA4818">
        <w:rPr>
          <w:rFonts w:eastAsia="Times New Roman" w:cs="Times New Roman"/>
          <w:b/>
          <w:szCs w:val="28"/>
          <w:lang w:val="vi-VN" w:eastAsia="vi-VN"/>
        </w:rPr>
        <w:t>.</w:t>
      </w:r>
      <w:r w:rsidR="001473A8" w:rsidRPr="00DA4818">
        <w:rPr>
          <w:rFonts w:eastAsia="Times New Roman" w:cs="Times New Roman"/>
          <w:szCs w:val="28"/>
          <w:lang w:val="vi-VN" w:eastAsia="vi-VN"/>
        </w:rPr>
        <w:t xml:space="preserve"> </w:t>
      </w:r>
      <w:r w:rsidR="00132D87" w:rsidRPr="00DA4818">
        <w:rPr>
          <w:rFonts w:eastAsia="Times New Roman" w:cs="Times New Roman"/>
          <w:szCs w:val="28"/>
          <w:lang w:val="vi-VN" w:eastAsia="vi-VN"/>
        </w:rPr>
        <w:t>Các nội dung lớn nêu trên và các nội dung cụ thể khác</w:t>
      </w:r>
      <w:r w:rsidR="00F20381" w:rsidRPr="00DA4818">
        <w:rPr>
          <w:rFonts w:eastAsia="Times New Roman" w:cs="Times New Roman"/>
          <w:szCs w:val="28"/>
          <w:lang w:val="nl-NL" w:eastAsia="vi-VN"/>
        </w:rPr>
        <w:t xml:space="preserve">, </w:t>
      </w:r>
      <w:r w:rsidR="002D0389" w:rsidRPr="00DA4818">
        <w:rPr>
          <w:rFonts w:eastAsia="Times New Roman" w:cs="Times New Roman"/>
          <w:szCs w:val="28"/>
          <w:lang w:val="nl-NL" w:eastAsia="vi-VN"/>
        </w:rPr>
        <w:t xml:space="preserve">những  </w:t>
      </w:r>
      <w:r w:rsidR="00F20381" w:rsidRPr="00DA4818">
        <w:rPr>
          <w:rFonts w:eastAsia="Times New Roman" w:cs="Times New Roman"/>
          <w:szCs w:val="28"/>
          <w:lang w:val="nl-NL" w:eastAsia="vi-VN"/>
        </w:rPr>
        <w:t xml:space="preserve">điểm mới so với Luật hiện hành và </w:t>
      </w:r>
      <w:r w:rsidR="009809AA" w:rsidRPr="00DA4818">
        <w:rPr>
          <w:rFonts w:eastAsia="Times New Roman" w:cs="Times New Roman"/>
          <w:szCs w:val="28"/>
          <w:lang w:val="nl-NL" w:eastAsia="vi-VN"/>
        </w:rPr>
        <w:t xml:space="preserve">những vấn đề cần quan tâm trong tổ chức thực hiện Luật đã được thể hiện </w:t>
      </w:r>
      <w:r w:rsidR="00132D87" w:rsidRPr="00DA4818">
        <w:rPr>
          <w:rFonts w:eastAsia="Times New Roman" w:cs="Times New Roman"/>
          <w:szCs w:val="28"/>
          <w:lang w:val="vi-VN" w:eastAsia="vi-VN"/>
        </w:rPr>
        <w:t xml:space="preserve">tại dự thảo </w:t>
      </w:r>
      <w:r w:rsidR="00132D87" w:rsidRPr="00DA4818">
        <w:rPr>
          <w:rFonts w:eastAsia="Calibri" w:cs="Times New Roman"/>
          <w:spacing w:val="4"/>
          <w:lang w:val="vi-VN"/>
        </w:rPr>
        <w:t xml:space="preserve">Báo cáo </w:t>
      </w:r>
      <w:r w:rsidR="00E4581C" w:rsidRPr="00DA4818">
        <w:rPr>
          <w:rFonts w:eastAsia="Calibri" w:cs="Times New Roman"/>
          <w:spacing w:val="4"/>
          <w:lang w:val="nl-NL"/>
        </w:rPr>
        <w:t xml:space="preserve">36 trang </w:t>
      </w:r>
      <w:r w:rsidR="00E4581C" w:rsidRPr="00DA4818">
        <w:rPr>
          <w:rFonts w:eastAsia="Calibri" w:cs="Times New Roman"/>
          <w:spacing w:val="4"/>
          <w:lang w:val="vi-VN"/>
        </w:rPr>
        <w:t xml:space="preserve">của Ủy ban Thường vụ Quốc hội </w:t>
      </w:r>
      <w:r w:rsidR="00132D87" w:rsidRPr="00DA4818">
        <w:rPr>
          <w:rFonts w:eastAsia="Calibri" w:cs="Times New Roman"/>
          <w:spacing w:val="4"/>
          <w:lang w:val="vi-VN"/>
        </w:rPr>
        <w:t>tiếp thu, giải trình, chỉnh lý dự thảo Luật</w:t>
      </w:r>
      <w:r w:rsidR="002C0F45" w:rsidRPr="00DA4818">
        <w:rPr>
          <w:rFonts w:eastAsia="Calibri" w:cs="Times New Roman"/>
          <w:spacing w:val="4"/>
          <w:lang w:val="vi-VN"/>
        </w:rPr>
        <w:t>.</w:t>
      </w:r>
    </w:p>
    <w:p w:rsidR="002C0F45" w:rsidRPr="00DA4818" w:rsidRDefault="002C0F45" w:rsidP="005D022F">
      <w:pPr>
        <w:spacing w:after="120"/>
        <w:rPr>
          <w:rFonts w:eastAsia="Calibri" w:cs="Times New Roman"/>
          <w:bCs/>
          <w:szCs w:val="28"/>
          <w:lang w:val="vi-VN"/>
        </w:rPr>
      </w:pPr>
      <w:r w:rsidRPr="00DA4818">
        <w:rPr>
          <w:rFonts w:eastAsia="Calibri" w:cs="Times New Roman"/>
          <w:bCs/>
          <w:szCs w:val="28"/>
          <w:lang w:val="vi-VN"/>
        </w:rPr>
        <w:t>Trên đây là Báo cáo</w:t>
      </w:r>
      <w:r w:rsidR="00BF5946" w:rsidRPr="00DA4818">
        <w:rPr>
          <w:rFonts w:eastAsia="Calibri" w:cs="Times New Roman"/>
          <w:szCs w:val="28"/>
          <w:lang w:val="nl-NL"/>
        </w:rPr>
        <w:t xml:space="preserve"> dự kiến tiếp thu, giải trình và chỉnh lý một số nội dung lớn của dự thảo </w:t>
      </w:r>
      <w:r w:rsidRPr="00DA4818">
        <w:rPr>
          <w:rFonts w:eastAsia="Calibri" w:cs="Times New Roman"/>
          <w:bCs/>
          <w:szCs w:val="28"/>
          <w:lang w:val="vi-VN"/>
        </w:rPr>
        <w:t xml:space="preserve">sửa đổi, bổ sung một số điều của Luật </w:t>
      </w:r>
      <w:r w:rsidR="006C3162" w:rsidRPr="00DA4818">
        <w:rPr>
          <w:rFonts w:eastAsia="Calibri" w:cs="Times New Roman"/>
          <w:bCs/>
          <w:szCs w:val="28"/>
          <w:lang w:val="vi-VN"/>
        </w:rPr>
        <w:t>Bảo hiểm y tế</w:t>
      </w:r>
      <w:r w:rsidRPr="00DA4818">
        <w:rPr>
          <w:rFonts w:eastAsia="Calibri" w:cs="Times New Roman"/>
          <w:bCs/>
          <w:szCs w:val="28"/>
          <w:lang w:val="vi-VN"/>
        </w:rPr>
        <w:t xml:space="preserve">, Thường trực Ủy ban Xã hội xin kính trình </w:t>
      </w:r>
      <w:r w:rsidR="00717ABB" w:rsidRPr="00DA4818">
        <w:rPr>
          <w:rFonts w:eastAsia="Calibri" w:cs="Times New Roman"/>
          <w:bCs/>
          <w:szCs w:val="28"/>
          <w:lang w:val="vi-VN"/>
        </w:rPr>
        <w:t>Ủy ban Thường vụ</w:t>
      </w:r>
      <w:r w:rsidRPr="00DA4818">
        <w:rPr>
          <w:rFonts w:eastAsia="Calibri" w:cs="Times New Roman"/>
          <w:bCs/>
          <w:szCs w:val="28"/>
          <w:lang w:val="vi-VN"/>
        </w:rPr>
        <w:t xml:space="preserve"> Quốc hội xem xét, cho ý kiến chỉ đạo.</w:t>
      </w:r>
    </w:p>
    <w:p w:rsidR="00FF1690" w:rsidRPr="00DA4818" w:rsidRDefault="00FF1690" w:rsidP="005D022F">
      <w:pPr>
        <w:widowControl w:val="0"/>
        <w:pBdr>
          <w:top w:val="dotted" w:sz="4" w:space="0" w:color="FFFFFF"/>
          <w:left w:val="dotted" w:sz="4" w:space="0" w:color="FFFFFF"/>
          <w:bottom w:val="dotted" w:sz="4" w:space="6" w:color="FFFFFF"/>
          <w:right w:val="dotted" w:sz="4" w:space="3" w:color="FFFFFF"/>
        </w:pBdr>
        <w:shd w:val="clear" w:color="auto" w:fill="FFFFFF"/>
        <w:spacing w:after="120"/>
        <w:rPr>
          <w:rFonts w:eastAsia="Calibri" w:cs="Times New Roman"/>
          <w:i/>
          <w:lang w:val="vi-VN"/>
        </w:rPr>
      </w:pPr>
      <w:r w:rsidRPr="00DA4818">
        <w:rPr>
          <w:rFonts w:eastAsia="Calibri" w:cs="Times New Roman"/>
          <w:i/>
          <w:lang w:val="vi-VN"/>
        </w:rPr>
        <w:t>Xin gửi kèm theo Báo cáo này các tài liệu sau đây:</w:t>
      </w:r>
    </w:p>
    <w:p w:rsidR="00241CAD" w:rsidRPr="00DA4818" w:rsidRDefault="00FF1690" w:rsidP="005D022F">
      <w:pPr>
        <w:widowControl w:val="0"/>
        <w:pBdr>
          <w:top w:val="dotted" w:sz="4" w:space="0" w:color="FFFFFF"/>
          <w:left w:val="dotted" w:sz="4" w:space="0" w:color="FFFFFF"/>
          <w:bottom w:val="dotted" w:sz="4" w:space="6" w:color="FFFFFF"/>
          <w:right w:val="dotted" w:sz="4" w:space="3" w:color="FFFFFF"/>
        </w:pBdr>
        <w:shd w:val="clear" w:color="auto" w:fill="FFFFFF"/>
        <w:spacing w:after="120"/>
        <w:ind w:firstLine="567"/>
        <w:rPr>
          <w:rFonts w:eastAsia="Calibri" w:cs="Times New Roman"/>
          <w:i/>
          <w:spacing w:val="-2"/>
          <w:lang w:val="vi-VN"/>
        </w:rPr>
      </w:pPr>
      <w:r w:rsidRPr="00DA4818">
        <w:rPr>
          <w:rFonts w:eastAsia="Calibri" w:cs="Times New Roman"/>
          <w:b/>
          <w:i/>
          <w:spacing w:val="-2"/>
          <w:lang w:val="vi-VN"/>
        </w:rPr>
        <w:t xml:space="preserve">(1) </w:t>
      </w:r>
      <w:r w:rsidRPr="00DA4818">
        <w:rPr>
          <w:rFonts w:eastAsia="Calibri" w:cs="Times New Roman"/>
          <w:i/>
          <w:spacing w:val="-2"/>
          <w:lang w:val="vi-VN"/>
        </w:rPr>
        <w:t>Dự thảo Báo cáo</w:t>
      </w:r>
      <w:r w:rsidR="00E4581C" w:rsidRPr="00DA4818">
        <w:rPr>
          <w:rFonts w:eastAsia="Calibri" w:cs="Times New Roman"/>
          <w:i/>
          <w:spacing w:val="-2"/>
          <w:lang w:val="vi-VN"/>
        </w:rPr>
        <w:t xml:space="preserve"> của Ủy ban Thường vụ Quốc hội </w:t>
      </w:r>
      <w:r w:rsidRPr="00DA4818">
        <w:rPr>
          <w:rFonts w:eastAsia="Calibri" w:cs="Times New Roman"/>
          <w:i/>
          <w:spacing w:val="-2"/>
          <w:lang w:val="vi-VN"/>
        </w:rPr>
        <w:t xml:space="preserve">tiếp thu, giải trình, chỉnh lý dự thảo Luật sửa đổi, bổ sung một số điều của Luật </w:t>
      </w:r>
      <w:r w:rsidR="006C3162" w:rsidRPr="00DA4818">
        <w:rPr>
          <w:rFonts w:eastAsia="Calibri" w:cs="Times New Roman"/>
          <w:i/>
          <w:spacing w:val="-2"/>
          <w:lang w:val="vi-VN"/>
        </w:rPr>
        <w:t>Bảo hiểm y tế</w:t>
      </w:r>
      <w:r w:rsidRPr="00DA4818">
        <w:rPr>
          <w:rFonts w:eastAsia="Calibri" w:cs="Times New Roman"/>
          <w:i/>
          <w:spacing w:val="-2"/>
          <w:lang w:val="vi-VN"/>
        </w:rPr>
        <w:t xml:space="preserve">; </w:t>
      </w:r>
      <w:r w:rsidRPr="00DA4818">
        <w:rPr>
          <w:rFonts w:eastAsia="Calibri" w:cs="Times New Roman"/>
          <w:b/>
          <w:i/>
          <w:spacing w:val="-2"/>
          <w:lang w:val="vi-VN"/>
        </w:rPr>
        <w:t>(2)</w:t>
      </w:r>
      <w:r w:rsidRPr="00DA4818">
        <w:rPr>
          <w:rFonts w:eastAsia="Calibri" w:cs="Times New Roman"/>
          <w:i/>
          <w:spacing w:val="-2"/>
          <w:lang w:val="vi-VN"/>
        </w:rPr>
        <w:t xml:space="preserve"> Dự thảo Luật sửa đổi, bổ sung một số điều của Luật </w:t>
      </w:r>
      <w:r w:rsidR="006C3162" w:rsidRPr="00DA4818">
        <w:rPr>
          <w:rFonts w:eastAsia="Calibri" w:cs="Times New Roman"/>
          <w:i/>
          <w:spacing w:val="-2"/>
          <w:lang w:val="vi-VN"/>
        </w:rPr>
        <w:t>Bảo hiểm y tế</w:t>
      </w:r>
      <w:r w:rsidRPr="00DA4818">
        <w:rPr>
          <w:rFonts w:eastAsia="Calibri" w:cs="Times New Roman"/>
          <w:i/>
          <w:spacing w:val="-2"/>
          <w:lang w:val="vi-VN"/>
        </w:rPr>
        <w:t xml:space="preserve"> dự kiến tiếp thu, chỉnh lý; </w:t>
      </w:r>
      <w:r w:rsidRPr="00DA4818">
        <w:rPr>
          <w:rFonts w:eastAsia="Calibri" w:cs="Times New Roman"/>
          <w:b/>
          <w:i/>
          <w:spacing w:val="-2"/>
          <w:lang w:val="vi-VN"/>
        </w:rPr>
        <w:t>(3)</w:t>
      </w:r>
      <w:r w:rsidRPr="00DA4818">
        <w:rPr>
          <w:rFonts w:eastAsia="Calibri" w:cs="Times New Roman"/>
          <w:i/>
          <w:spacing w:val="-2"/>
          <w:lang w:val="vi-VN"/>
        </w:rPr>
        <w:t xml:space="preserve"> Bảng so sánh </w:t>
      </w:r>
      <w:r w:rsidR="00484113" w:rsidRPr="00DA4818">
        <w:rPr>
          <w:rFonts w:eastAsia="Calibri" w:cs="Times New Roman"/>
          <w:bCs/>
          <w:i/>
          <w:spacing w:val="-2"/>
          <w:lang w:val="vi-VN"/>
        </w:rPr>
        <w:t xml:space="preserve">dự thảo Luật sửa đổi, bổ sung một số điều của Luật </w:t>
      </w:r>
      <w:r w:rsidR="006C3162" w:rsidRPr="00DA4818">
        <w:rPr>
          <w:rFonts w:eastAsia="Calibri" w:cs="Times New Roman"/>
          <w:bCs/>
          <w:i/>
          <w:spacing w:val="-2"/>
          <w:lang w:val="vi-VN"/>
        </w:rPr>
        <w:t>Bảo hiểm y tế</w:t>
      </w:r>
      <w:r w:rsidR="00484113" w:rsidRPr="00DA4818">
        <w:rPr>
          <w:rFonts w:eastAsia="Calibri" w:cs="Times New Roman"/>
          <w:bCs/>
          <w:i/>
          <w:spacing w:val="-2"/>
          <w:lang w:val="vi-VN"/>
        </w:rPr>
        <w:t xml:space="preserve"> trình tại Kỳ họp thứ </w:t>
      </w:r>
      <w:r w:rsidR="006C3162" w:rsidRPr="00DA4818">
        <w:rPr>
          <w:rFonts w:eastAsia="Calibri" w:cs="Times New Roman"/>
          <w:bCs/>
          <w:i/>
          <w:spacing w:val="-2"/>
          <w:lang w:val="vi-VN"/>
        </w:rPr>
        <w:t>8</w:t>
      </w:r>
      <w:r w:rsidR="006C3162" w:rsidRPr="00DA4818">
        <w:rPr>
          <w:rFonts w:eastAsia="Calibri" w:cs="Times New Roman"/>
          <w:i/>
          <w:spacing w:val="-2"/>
          <w:lang w:val="vi-VN"/>
        </w:rPr>
        <w:t xml:space="preserve"> </w:t>
      </w:r>
      <w:r w:rsidRPr="00DA4818">
        <w:rPr>
          <w:rFonts w:eastAsia="Calibri" w:cs="Times New Roman"/>
          <w:i/>
          <w:spacing w:val="-2"/>
          <w:lang w:val="vi-VN"/>
        </w:rPr>
        <w:t>và dự thảo Luật dự kiến tiếp thu, chỉnh lý;</w:t>
      </w:r>
      <w:r w:rsidRPr="00DA4818">
        <w:rPr>
          <w:rFonts w:eastAsia="Calibri" w:cs="Times New Roman"/>
          <w:b/>
          <w:i/>
          <w:spacing w:val="-2"/>
          <w:lang w:val="vi-VN"/>
        </w:rPr>
        <w:t xml:space="preserve"> </w:t>
      </w:r>
      <w:r w:rsidR="009809AA" w:rsidRPr="00DA4818">
        <w:rPr>
          <w:rFonts w:eastAsia="Calibri" w:cs="Times New Roman"/>
          <w:b/>
          <w:i/>
          <w:spacing w:val="-2"/>
          <w:lang w:val="vi-VN"/>
        </w:rPr>
        <w:t xml:space="preserve">(4) </w:t>
      </w:r>
      <w:r w:rsidR="009809AA" w:rsidRPr="00DA4818">
        <w:rPr>
          <w:rFonts w:eastAsia="Calibri" w:cs="Times New Roman"/>
          <w:bCs/>
          <w:i/>
          <w:spacing w:val="-2"/>
          <w:lang w:val="vi-VN"/>
        </w:rPr>
        <w:t>Dự thảo Luật bảo hiểm y tế hợp nhất;</w:t>
      </w:r>
      <w:r w:rsidR="009809AA" w:rsidRPr="00DA4818">
        <w:rPr>
          <w:rFonts w:eastAsia="Calibri" w:cs="Times New Roman"/>
          <w:b/>
          <w:i/>
          <w:spacing w:val="-2"/>
          <w:lang w:val="vi-VN"/>
        </w:rPr>
        <w:t xml:space="preserve"> </w:t>
      </w:r>
      <w:r w:rsidRPr="00DA4818">
        <w:rPr>
          <w:rFonts w:eastAsia="Calibri" w:cs="Times New Roman"/>
          <w:b/>
          <w:i/>
          <w:spacing w:val="-2"/>
          <w:lang w:val="vi-VN"/>
        </w:rPr>
        <w:t>(</w:t>
      </w:r>
      <w:r w:rsidR="009809AA" w:rsidRPr="00DA4818">
        <w:rPr>
          <w:rFonts w:eastAsia="Calibri" w:cs="Times New Roman"/>
          <w:b/>
          <w:i/>
          <w:spacing w:val="-2"/>
          <w:lang w:val="vi-VN"/>
        </w:rPr>
        <w:t>5</w:t>
      </w:r>
      <w:r w:rsidRPr="00DA4818">
        <w:rPr>
          <w:rFonts w:eastAsia="Calibri" w:cs="Times New Roman"/>
          <w:b/>
          <w:i/>
          <w:spacing w:val="-2"/>
          <w:lang w:val="vi-VN"/>
        </w:rPr>
        <w:t>)</w:t>
      </w:r>
      <w:r w:rsidRPr="00DA4818">
        <w:rPr>
          <w:rFonts w:eastAsia="Calibri" w:cs="Times New Roman"/>
          <w:i/>
          <w:spacing w:val="-2"/>
          <w:lang w:val="vi-VN"/>
        </w:rPr>
        <w:t xml:space="preserve"> Báo cáo số 4</w:t>
      </w:r>
      <w:r w:rsidR="005B5D81" w:rsidRPr="00DA4818">
        <w:rPr>
          <w:rFonts w:eastAsia="Calibri" w:cs="Times New Roman"/>
          <w:i/>
          <w:spacing w:val="-2"/>
          <w:lang w:val="vi-VN"/>
        </w:rPr>
        <w:t>618</w:t>
      </w:r>
      <w:r w:rsidRPr="00DA4818">
        <w:rPr>
          <w:rFonts w:eastAsia="Calibri" w:cs="Times New Roman"/>
          <w:i/>
          <w:spacing w:val="-2"/>
          <w:lang w:val="vi-VN"/>
        </w:rPr>
        <w:t xml:space="preserve">/BC-TTKQH ngày </w:t>
      </w:r>
      <w:r w:rsidR="005B5D81" w:rsidRPr="00DA4818">
        <w:rPr>
          <w:rFonts w:eastAsia="Calibri" w:cs="Times New Roman"/>
          <w:i/>
          <w:spacing w:val="-2"/>
          <w:lang w:val="vi-VN"/>
        </w:rPr>
        <w:t>09/11</w:t>
      </w:r>
      <w:r w:rsidRPr="00DA4818">
        <w:rPr>
          <w:rFonts w:eastAsia="Calibri" w:cs="Times New Roman"/>
          <w:i/>
          <w:spacing w:val="-2"/>
          <w:lang w:val="vi-VN"/>
        </w:rPr>
        <w:t>/2024 tổng hợp ý kiến của các vị đại biểu Quốc hội thảo luận tại</w:t>
      </w:r>
      <w:r w:rsidR="00053B2F" w:rsidRPr="00DA4818">
        <w:rPr>
          <w:rFonts w:eastAsia="Calibri" w:cs="Times New Roman"/>
          <w:i/>
          <w:spacing w:val="-2"/>
          <w:lang w:val="vi-VN"/>
        </w:rPr>
        <w:t xml:space="preserve"> Tổ và tại</w:t>
      </w:r>
      <w:r w:rsidRPr="00DA4818">
        <w:rPr>
          <w:rFonts w:eastAsia="Calibri" w:cs="Times New Roman"/>
          <w:i/>
          <w:spacing w:val="-2"/>
          <w:lang w:val="vi-VN"/>
        </w:rPr>
        <w:t xml:space="preserve"> Hội trường</w:t>
      </w:r>
      <w:r w:rsidR="006C3162" w:rsidRPr="00DA4818">
        <w:rPr>
          <w:rFonts w:eastAsia="Calibri" w:cs="Times New Roman"/>
          <w:i/>
          <w:spacing w:val="-2"/>
          <w:lang w:val="vi-VN"/>
        </w:rPr>
        <w:t xml:space="preserve"> và </w:t>
      </w:r>
      <w:bookmarkStart w:id="0" w:name="_GoBack"/>
      <w:bookmarkEnd w:id="0"/>
      <w:r w:rsidR="006C3162" w:rsidRPr="00DA4818">
        <w:rPr>
          <w:rFonts w:eastAsia="Calibri" w:cs="Times New Roman"/>
          <w:i/>
          <w:spacing w:val="-2"/>
          <w:lang w:val="vi-VN"/>
        </w:rPr>
        <w:t>Tổ</w:t>
      </w:r>
      <w:r w:rsidRPr="00DA4818">
        <w:rPr>
          <w:rFonts w:eastAsia="Calibri" w:cs="Times New Roman"/>
          <w:i/>
          <w:spacing w:val="-2"/>
          <w:lang w:val="vi-VN"/>
        </w:rPr>
        <w:t xml:space="preserve"> về dự thảo Luật sửa đổi, bổ sung một số điều của Luật </w:t>
      </w:r>
      <w:r w:rsidR="006C3162" w:rsidRPr="00DA4818">
        <w:rPr>
          <w:rFonts w:eastAsia="Calibri" w:cs="Times New Roman"/>
          <w:i/>
          <w:spacing w:val="-2"/>
          <w:lang w:val="vi-VN"/>
        </w:rPr>
        <w:t>Bảo hiểm y tế</w:t>
      </w:r>
      <w:r w:rsidR="00EB634A" w:rsidRPr="00DA4818">
        <w:rPr>
          <w:rFonts w:eastAsia="Calibri" w:cs="Times New Roman"/>
          <w:i/>
          <w:spacing w:val="-2"/>
          <w:lang w:val="vi-VN"/>
        </w:rPr>
        <w:t xml:space="preserve">; </w:t>
      </w:r>
      <w:r w:rsidR="00EB634A" w:rsidRPr="00DA4818">
        <w:rPr>
          <w:rFonts w:eastAsia="Calibri" w:cs="Times New Roman"/>
          <w:b/>
          <w:i/>
          <w:spacing w:val="-2"/>
          <w:lang w:val="vi-VN"/>
        </w:rPr>
        <w:t>(</w:t>
      </w:r>
      <w:r w:rsidR="009809AA" w:rsidRPr="00DA4818">
        <w:rPr>
          <w:rFonts w:eastAsia="Calibri" w:cs="Times New Roman"/>
          <w:b/>
          <w:i/>
          <w:spacing w:val="-2"/>
          <w:lang w:val="vi-VN"/>
        </w:rPr>
        <w:t>6</w:t>
      </w:r>
      <w:r w:rsidR="00EB634A" w:rsidRPr="00DA4818">
        <w:rPr>
          <w:rFonts w:eastAsia="Calibri" w:cs="Times New Roman"/>
          <w:b/>
          <w:i/>
          <w:spacing w:val="-2"/>
          <w:lang w:val="vi-VN"/>
        </w:rPr>
        <w:t xml:space="preserve">) </w:t>
      </w:r>
      <w:r w:rsidR="00EB634A" w:rsidRPr="00DA4818">
        <w:rPr>
          <w:rFonts w:eastAsia="Calibri" w:cs="Times New Roman"/>
          <w:i/>
          <w:spacing w:val="-2"/>
          <w:lang w:val="vi-VN"/>
        </w:rPr>
        <w:t xml:space="preserve">Báo cáo của Bộ Y tế về </w:t>
      </w:r>
      <w:r w:rsidR="008015C7" w:rsidRPr="00DA4818">
        <w:rPr>
          <w:rFonts w:eastAsia="Calibri" w:cs="Times New Roman"/>
          <w:i/>
          <w:spacing w:val="-2"/>
          <w:lang w:val="vi-VN"/>
        </w:rPr>
        <w:t>dự kiến tiếp thu, giải trình ý kiến của đại biểu Quốc hội đối với dự thảo Luật</w:t>
      </w:r>
      <w:r w:rsidR="00C60B7B" w:rsidRPr="00DA4818">
        <w:rPr>
          <w:rFonts w:eastAsia="Calibri" w:cs="Times New Roman"/>
          <w:i/>
          <w:spacing w:val="-2"/>
          <w:lang w:val="vi-VN"/>
        </w:rPr>
        <w:t xml:space="preserve"> sửa đổi, bổ sung một số điều của Luật</w:t>
      </w:r>
      <w:r w:rsidR="006C3162" w:rsidRPr="00DA4818">
        <w:rPr>
          <w:rFonts w:eastAsia="Calibri" w:cs="Times New Roman"/>
          <w:i/>
          <w:spacing w:val="-2"/>
          <w:lang w:val="vi-VN"/>
        </w:rPr>
        <w:t xml:space="preserve"> Bảo hiểm y tế</w:t>
      </w:r>
      <w:r w:rsidR="00C60B7B" w:rsidRPr="00DA4818">
        <w:rPr>
          <w:rFonts w:eastAsia="Calibri" w:cs="Times New Roman"/>
          <w:i/>
          <w:spacing w:val="-2"/>
          <w:lang w:val="vi-VN"/>
        </w:rPr>
        <w:t>.</w:t>
      </w:r>
      <w:r w:rsidR="00E4581C" w:rsidRPr="00DA4818">
        <w:rPr>
          <w:rFonts w:eastAsia="Calibri" w:cs="Times New Roman"/>
          <w:i/>
          <w:spacing w:val="-2"/>
          <w:lang w:val="vi-VN"/>
        </w:rPr>
        <w:t>/.</w:t>
      </w:r>
    </w:p>
    <w:p w:rsidR="00DD1A76" w:rsidRPr="00DA4818" w:rsidRDefault="00DD1A76" w:rsidP="008C2EC0">
      <w:pPr>
        <w:widowControl w:val="0"/>
        <w:pBdr>
          <w:top w:val="dotted" w:sz="4" w:space="0" w:color="FFFFFF"/>
          <w:left w:val="dotted" w:sz="4" w:space="0" w:color="FFFFFF"/>
          <w:bottom w:val="dotted" w:sz="4" w:space="6" w:color="FFFFFF"/>
          <w:right w:val="dotted" w:sz="4" w:space="3" w:color="FFFFFF"/>
        </w:pBdr>
        <w:shd w:val="clear" w:color="auto" w:fill="FFFFFF"/>
        <w:ind w:firstLine="567"/>
        <w:rPr>
          <w:rFonts w:eastAsia="Calibri" w:cs="Times New Roman"/>
          <w:i/>
          <w:spacing w:val="-2"/>
          <w:lang w:val="vi-VN"/>
        </w:rPr>
      </w:pPr>
    </w:p>
    <w:tbl>
      <w:tblPr>
        <w:tblW w:w="9586" w:type="dxa"/>
        <w:jc w:val="center"/>
        <w:tblLook w:val="01E0" w:firstRow="1" w:lastRow="1" w:firstColumn="1" w:lastColumn="1" w:noHBand="0" w:noVBand="0"/>
      </w:tblPr>
      <w:tblGrid>
        <w:gridCol w:w="4536"/>
        <w:gridCol w:w="5050"/>
      </w:tblGrid>
      <w:tr w:rsidR="00212FB2" w:rsidRPr="00DA4818" w:rsidTr="00703DC4">
        <w:trPr>
          <w:trHeight w:val="1999"/>
          <w:jc w:val="center"/>
        </w:trPr>
        <w:tc>
          <w:tcPr>
            <w:tcW w:w="4536" w:type="dxa"/>
          </w:tcPr>
          <w:p w:rsidR="00212FB2" w:rsidRPr="00DA4818" w:rsidRDefault="00212FB2" w:rsidP="00212FB2">
            <w:pPr>
              <w:spacing w:before="0"/>
              <w:ind w:firstLine="0"/>
              <w:jc w:val="left"/>
              <w:rPr>
                <w:rFonts w:eastAsia="Times New Roman" w:cs="Times New Roman"/>
                <w:b/>
                <w:i/>
                <w:sz w:val="24"/>
                <w:szCs w:val="24"/>
                <w:lang w:val="sv-SE"/>
              </w:rPr>
            </w:pPr>
          </w:p>
          <w:p w:rsidR="00241CAD" w:rsidRPr="00DA4818" w:rsidRDefault="00241CAD" w:rsidP="00212FB2">
            <w:pPr>
              <w:spacing w:before="0"/>
              <w:ind w:firstLine="0"/>
              <w:jc w:val="left"/>
              <w:rPr>
                <w:rFonts w:eastAsia="Times New Roman" w:cs="Times New Roman"/>
                <w:b/>
                <w:i/>
                <w:sz w:val="24"/>
                <w:szCs w:val="24"/>
                <w:lang w:val="sv-SE"/>
              </w:rPr>
            </w:pPr>
          </w:p>
          <w:p w:rsidR="00212FB2" w:rsidRPr="00DA4818" w:rsidRDefault="00212FB2" w:rsidP="00212FB2">
            <w:pPr>
              <w:spacing w:before="0"/>
              <w:ind w:firstLine="0"/>
              <w:jc w:val="left"/>
              <w:rPr>
                <w:rFonts w:eastAsia="Times New Roman" w:cs="Times New Roman"/>
                <w:sz w:val="22"/>
                <w:szCs w:val="24"/>
                <w:lang w:val="sv-SE"/>
              </w:rPr>
            </w:pPr>
            <w:r w:rsidRPr="00DA4818">
              <w:rPr>
                <w:rFonts w:eastAsia="Times New Roman" w:cs="Times New Roman"/>
                <w:b/>
                <w:i/>
                <w:sz w:val="24"/>
                <w:szCs w:val="24"/>
                <w:lang w:val="sv-SE"/>
              </w:rPr>
              <w:t xml:space="preserve">Nơi nhận:                                                                                              </w:t>
            </w:r>
            <w:r w:rsidRPr="00DA4818">
              <w:rPr>
                <w:rFonts w:eastAsia="Times New Roman" w:cs="Times New Roman"/>
                <w:sz w:val="22"/>
                <w:szCs w:val="24"/>
                <w:lang w:val="sv-SE"/>
              </w:rPr>
              <w:t>- Như trên;</w:t>
            </w:r>
          </w:p>
          <w:p w:rsidR="00940265" w:rsidRPr="00DA4818" w:rsidRDefault="00212FB2" w:rsidP="000361E8">
            <w:pPr>
              <w:spacing w:before="0"/>
              <w:ind w:firstLine="0"/>
              <w:jc w:val="left"/>
              <w:rPr>
                <w:rFonts w:eastAsia="Times New Roman" w:cs="Times New Roman"/>
                <w:sz w:val="22"/>
                <w:szCs w:val="24"/>
                <w:lang w:val="sv-SE"/>
              </w:rPr>
            </w:pPr>
            <w:r w:rsidRPr="00DA4818">
              <w:rPr>
                <w:rFonts w:eastAsia="Times New Roman" w:cs="Times New Roman"/>
                <w:sz w:val="22"/>
                <w:szCs w:val="24"/>
                <w:lang w:val="sv-SE"/>
              </w:rPr>
              <w:t xml:space="preserve">- </w:t>
            </w:r>
            <w:r w:rsidR="000361E8" w:rsidRPr="00DA4818">
              <w:rPr>
                <w:rFonts w:eastAsia="Times New Roman" w:cs="Times New Roman"/>
                <w:sz w:val="22"/>
                <w:szCs w:val="24"/>
                <w:lang w:val="sv-SE"/>
              </w:rPr>
              <w:t>Bộ trưởng Bộ Y tế</w:t>
            </w:r>
            <w:r w:rsidR="00940265" w:rsidRPr="00DA4818">
              <w:rPr>
                <w:rFonts w:eastAsia="Times New Roman" w:cs="Times New Roman"/>
                <w:sz w:val="22"/>
                <w:szCs w:val="24"/>
                <w:lang w:val="sv-SE"/>
              </w:rPr>
              <w:t xml:space="preserve"> (để phối hợp)</w:t>
            </w:r>
            <w:r w:rsidR="00484113" w:rsidRPr="00DA4818">
              <w:rPr>
                <w:rFonts w:eastAsia="Times New Roman" w:cs="Times New Roman"/>
                <w:sz w:val="22"/>
                <w:szCs w:val="24"/>
                <w:lang w:val="sv-SE"/>
              </w:rPr>
              <w:t>;</w:t>
            </w:r>
          </w:p>
          <w:p w:rsidR="00212FB2" w:rsidRPr="00DA4818" w:rsidRDefault="00940265" w:rsidP="000361E8">
            <w:pPr>
              <w:spacing w:before="0"/>
              <w:ind w:firstLine="0"/>
              <w:jc w:val="left"/>
              <w:rPr>
                <w:rFonts w:eastAsia="Times New Roman" w:cs="Times New Roman"/>
                <w:sz w:val="22"/>
                <w:szCs w:val="24"/>
                <w:lang w:val="sv-SE"/>
              </w:rPr>
            </w:pPr>
            <w:r w:rsidRPr="00DA4818">
              <w:rPr>
                <w:rFonts w:eastAsia="Times New Roman" w:cs="Times New Roman"/>
                <w:sz w:val="22"/>
                <w:szCs w:val="24"/>
                <w:lang w:val="sv-SE"/>
              </w:rPr>
              <w:t xml:space="preserve">- </w:t>
            </w:r>
            <w:r w:rsidR="009809AA" w:rsidRPr="00DA4818">
              <w:rPr>
                <w:rFonts w:eastAsia="Times New Roman" w:cs="Times New Roman"/>
                <w:sz w:val="22"/>
                <w:szCs w:val="24"/>
                <w:lang w:val="sv-SE"/>
              </w:rPr>
              <w:t>TTHĐ DT và các Ủy ban của QH; VPQH;</w:t>
            </w:r>
          </w:p>
          <w:p w:rsidR="009809AA" w:rsidRPr="00DA4818" w:rsidRDefault="009809AA" w:rsidP="000361E8">
            <w:pPr>
              <w:spacing w:before="0"/>
              <w:ind w:firstLine="0"/>
              <w:jc w:val="left"/>
              <w:rPr>
                <w:rFonts w:eastAsia="Times New Roman" w:cs="Times New Roman"/>
                <w:sz w:val="22"/>
                <w:szCs w:val="24"/>
                <w:lang w:val="sv-SE"/>
              </w:rPr>
            </w:pPr>
            <w:r w:rsidRPr="00DA4818">
              <w:rPr>
                <w:rFonts w:eastAsia="Times New Roman" w:cs="Times New Roman"/>
                <w:sz w:val="22"/>
                <w:szCs w:val="24"/>
                <w:lang w:val="sv-SE"/>
              </w:rPr>
              <w:t>- TTKQH (để phối hợp)</w:t>
            </w:r>
          </w:p>
          <w:p w:rsidR="009809AA" w:rsidRPr="00DA4818" w:rsidRDefault="009809AA" w:rsidP="000361E8">
            <w:pPr>
              <w:spacing w:before="0"/>
              <w:ind w:firstLine="0"/>
              <w:jc w:val="left"/>
              <w:rPr>
                <w:rFonts w:eastAsia="Times New Roman" w:cs="Times New Roman"/>
                <w:sz w:val="22"/>
                <w:szCs w:val="24"/>
                <w:lang w:val="sv-SE"/>
              </w:rPr>
            </w:pPr>
            <w:r w:rsidRPr="00DA4818">
              <w:rPr>
                <w:rFonts w:eastAsia="Times New Roman" w:cs="Times New Roman"/>
                <w:sz w:val="22"/>
                <w:szCs w:val="24"/>
                <w:lang w:val="sv-SE"/>
              </w:rPr>
              <w:t>- BHXH Việt Nam;</w:t>
            </w:r>
          </w:p>
          <w:p w:rsidR="00212FB2" w:rsidRPr="00DA4818" w:rsidRDefault="00212FB2" w:rsidP="000361E8">
            <w:pPr>
              <w:spacing w:before="0"/>
              <w:ind w:firstLine="0"/>
              <w:jc w:val="left"/>
              <w:rPr>
                <w:rFonts w:eastAsia="Times New Roman" w:cs="Times New Roman"/>
                <w:sz w:val="22"/>
                <w:szCs w:val="24"/>
                <w:lang w:val="sv-SE"/>
              </w:rPr>
            </w:pPr>
            <w:r w:rsidRPr="00DA4818">
              <w:rPr>
                <w:rFonts w:eastAsia="Times New Roman" w:cs="Times New Roman"/>
                <w:sz w:val="22"/>
                <w:szCs w:val="24"/>
                <w:lang w:val="sv-SE"/>
              </w:rPr>
              <w:t xml:space="preserve">- </w:t>
            </w:r>
            <w:r w:rsidR="000361E8" w:rsidRPr="00DA4818">
              <w:rPr>
                <w:rFonts w:eastAsia="Times New Roman" w:cs="Times New Roman"/>
                <w:sz w:val="22"/>
                <w:szCs w:val="24"/>
                <w:lang w:val="sv-SE"/>
              </w:rPr>
              <w:t>TTUBXH;</w:t>
            </w:r>
          </w:p>
          <w:p w:rsidR="00212FB2" w:rsidRPr="00DA4818" w:rsidRDefault="00212FB2" w:rsidP="00212FB2">
            <w:pPr>
              <w:spacing w:before="0"/>
              <w:ind w:firstLine="0"/>
              <w:jc w:val="left"/>
              <w:rPr>
                <w:rFonts w:eastAsia="Times New Roman" w:cs="Times New Roman"/>
                <w:sz w:val="22"/>
                <w:szCs w:val="24"/>
                <w:lang w:val="sv-SE"/>
              </w:rPr>
            </w:pPr>
            <w:r w:rsidRPr="00DA4818">
              <w:rPr>
                <w:rFonts w:eastAsia="Times New Roman" w:cs="Times New Roman"/>
                <w:sz w:val="22"/>
                <w:szCs w:val="24"/>
                <w:lang w:val="sv-SE"/>
              </w:rPr>
              <w:t>- Lưu: HC, XH.</w:t>
            </w:r>
          </w:p>
          <w:p w:rsidR="00212FB2" w:rsidRPr="00DA4818" w:rsidRDefault="00CF64DC" w:rsidP="00212FB2">
            <w:pPr>
              <w:spacing w:before="0"/>
              <w:ind w:firstLine="0"/>
              <w:jc w:val="left"/>
              <w:rPr>
                <w:rFonts w:eastAsia="Times New Roman" w:cs="Times New Roman"/>
                <w:szCs w:val="26"/>
                <w:lang w:val="sv-SE"/>
              </w:rPr>
            </w:pPr>
            <w:r w:rsidRPr="00DA4818">
              <w:rPr>
                <w:rFonts w:eastAsia="Times New Roman" w:cs="Times New Roman"/>
                <w:b/>
                <w:sz w:val="22"/>
                <w:szCs w:val="24"/>
                <w:lang w:val="sv-SE"/>
              </w:rPr>
              <w:t>Epas:</w:t>
            </w:r>
            <w:r w:rsidR="00C26D37" w:rsidRPr="00DA4818">
              <w:rPr>
                <w:rFonts w:eastAsia="Times New Roman" w:cs="Times New Roman"/>
                <w:b/>
                <w:sz w:val="22"/>
                <w:szCs w:val="24"/>
                <w:lang w:val="sv-SE"/>
              </w:rPr>
              <w:t xml:space="preserve"> </w:t>
            </w:r>
            <w:r w:rsidR="000D05B5" w:rsidRPr="00DA4818">
              <w:rPr>
                <w:rFonts w:eastAsia="Times New Roman" w:cs="Times New Roman"/>
                <w:b/>
                <w:sz w:val="22"/>
                <w:szCs w:val="24"/>
                <w:lang w:val="sv-SE"/>
              </w:rPr>
              <w:t>107499</w:t>
            </w:r>
          </w:p>
        </w:tc>
        <w:tc>
          <w:tcPr>
            <w:tcW w:w="5050" w:type="dxa"/>
          </w:tcPr>
          <w:p w:rsidR="00212FB2" w:rsidRPr="00DA4818" w:rsidRDefault="00212FB2" w:rsidP="00135B09">
            <w:pPr>
              <w:spacing w:before="0"/>
              <w:ind w:firstLine="0"/>
              <w:jc w:val="center"/>
              <w:rPr>
                <w:rFonts w:eastAsia="Times New Roman" w:cs="Times New Roman"/>
                <w:b/>
                <w:sz w:val="26"/>
                <w:szCs w:val="26"/>
                <w:lang w:val="sv-SE"/>
              </w:rPr>
            </w:pPr>
            <w:r w:rsidRPr="00DA4818">
              <w:rPr>
                <w:rFonts w:eastAsia="Times New Roman" w:cs="Times New Roman"/>
                <w:b/>
                <w:sz w:val="26"/>
                <w:szCs w:val="26"/>
                <w:lang w:val="sv-SE"/>
              </w:rPr>
              <w:t>TM. THƯỜNG TRỰC ỦY BAN</w:t>
            </w:r>
          </w:p>
          <w:p w:rsidR="00212FB2" w:rsidRPr="00DA4818" w:rsidRDefault="00212FB2" w:rsidP="00135B09">
            <w:pPr>
              <w:spacing w:before="0"/>
              <w:ind w:firstLine="0"/>
              <w:jc w:val="center"/>
              <w:rPr>
                <w:rFonts w:eastAsia="Times New Roman" w:cs="Times New Roman"/>
                <w:b/>
                <w:szCs w:val="28"/>
                <w:lang w:val="sv-SE"/>
              </w:rPr>
            </w:pPr>
            <w:r w:rsidRPr="00DA4818">
              <w:rPr>
                <w:rFonts w:eastAsia="Times New Roman" w:cs="Times New Roman"/>
                <w:b/>
                <w:sz w:val="26"/>
                <w:szCs w:val="26"/>
                <w:lang w:val="sv-SE"/>
              </w:rPr>
              <w:t>CHỦ NHIỆM</w:t>
            </w:r>
          </w:p>
          <w:p w:rsidR="00212FB2" w:rsidRPr="00DA4818" w:rsidRDefault="00212FB2" w:rsidP="00135B09">
            <w:pPr>
              <w:spacing w:before="0"/>
              <w:ind w:firstLine="0"/>
              <w:jc w:val="center"/>
              <w:rPr>
                <w:rFonts w:eastAsia="Times New Roman" w:cs="Times New Roman"/>
                <w:b/>
                <w:szCs w:val="28"/>
                <w:lang w:val="sv-SE"/>
              </w:rPr>
            </w:pPr>
          </w:p>
          <w:p w:rsidR="00212FB2" w:rsidRPr="00DA4818" w:rsidRDefault="00212FB2" w:rsidP="00135B09">
            <w:pPr>
              <w:spacing w:before="0"/>
              <w:ind w:firstLine="0"/>
              <w:jc w:val="center"/>
              <w:rPr>
                <w:rFonts w:eastAsia="Times New Roman" w:cs="Times New Roman"/>
                <w:b/>
                <w:szCs w:val="28"/>
                <w:lang w:val="sv-SE"/>
              </w:rPr>
            </w:pPr>
          </w:p>
          <w:p w:rsidR="00212FB2" w:rsidRPr="00DA4818" w:rsidRDefault="00051AED" w:rsidP="00135B09">
            <w:pPr>
              <w:spacing w:before="0"/>
              <w:ind w:firstLine="0"/>
              <w:jc w:val="center"/>
              <w:rPr>
                <w:rFonts w:eastAsia="Times New Roman" w:cs="Times New Roman"/>
                <w:b/>
                <w:szCs w:val="28"/>
                <w:lang w:val="vi-VN"/>
              </w:rPr>
            </w:pPr>
            <w:r w:rsidRPr="00DA4818">
              <w:rPr>
                <w:rFonts w:eastAsia="Times New Roman" w:cs="Times New Roman"/>
                <w:b/>
                <w:szCs w:val="28"/>
                <w:lang w:val="vi-VN"/>
              </w:rPr>
              <w:t>(Đã ký)</w:t>
            </w:r>
          </w:p>
          <w:p w:rsidR="009809AA" w:rsidRPr="00DA4818" w:rsidRDefault="009809AA" w:rsidP="00135B09">
            <w:pPr>
              <w:spacing w:before="0"/>
              <w:ind w:firstLine="0"/>
              <w:jc w:val="center"/>
              <w:rPr>
                <w:rFonts w:eastAsia="Times New Roman" w:cs="Times New Roman"/>
                <w:b/>
                <w:szCs w:val="28"/>
                <w:lang w:val="sv-SE"/>
              </w:rPr>
            </w:pPr>
          </w:p>
          <w:p w:rsidR="00212FB2" w:rsidRPr="00DA4818" w:rsidRDefault="00212FB2" w:rsidP="00135B09">
            <w:pPr>
              <w:spacing w:before="0"/>
              <w:ind w:firstLine="0"/>
              <w:jc w:val="center"/>
              <w:rPr>
                <w:rFonts w:eastAsia="Times New Roman" w:cs="Times New Roman"/>
                <w:b/>
                <w:szCs w:val="28"/>
                <w:lang w:val="sv-SE"/>
              </w:rPr>
            </w:pPr>
          </w:p>
          <w:p w:rsidR="00212FB2" w:rsidRPr="00DA4818" w:rsidRDefault="00212FB2" w:rsidP="00135B09">
            <w:pPr>
              <w:spacing w:before="0"/>
              <w:ind w:firstLine="0"/>
              <w:jc w:val="center"/>
              <w:rPr>
                <w:rFonts w:eastAsia="Times New Roman" w:cs="Times New Roman"/>
                <w:b/>
                <w:szCs w:val="28"/>
                <w:lang w:val="sv-SE"/>
              </w:rPr>
            </w:pPr>
          </w:p>
          <w:p w:rsidR="00212FB2" w:rsidRPr="00DA4818" w:rsidRDefault="009809AA" w:rsidP="00135B09">
            <w:pPr>
              <w:spacing w:before="0"/>
              <w:ind w:firstLine="0"/>
              <w:jc w:val="center"/>
              <w:rPr>
                <w:rFonts w:eastAsia="Times New Roman" w:cs="Times New Roman"/>
                <w:szCs w:val="26"/>
                <w:lang w:val="sv-SE"/>
              </w:rPr>
            </w:pPr>
            <w:r w:rsidRPr="00DA4818">
              <w:rPr>
                <w:rFonts w:eastAsia="Times New Roman" w:cs="Times New Roman"/>
                <w:b/>
                <w:szCs w:val="28"/>
                <w:lang w:val="sv-SE"/>
              </w:rPr>
              <w:t xml:space="preserve">    </w:t>
            </w:r>
            <w:r w:rsidR="00212FB2" w:rsidRPr="00DA4818">
              <w:rPr>
                <w:rFonts w:eastAsia="Times New Roman" w:cs="Times New Roman"/>
                <w:b/>
                <w:szCs w:val="28"/>
                <w:lang w:val="sv-SE"/>
              </w:rPr>
              <w:t>Nguyễn Thúy Anh</w:t>
            </w:r>
          </w:p>
        </w:tc>
      </w:tr>
    </w:tbl>
    <w:p w:rsidR="00703DC4" w:rsidRPr="00DA4818" w:rsidRDefault="00703DC4" w:rsidP="00A61E2C">
      <w:pPr>
        <w:ind w:firstLine="0"/>
        <w:rPr>
          <w:lang w:val="sv-SE"/>
        </w:rPr>
      </w:pPr>
    </w:p>
    <w:sectPr w:rsidR="00703DC4" w:rsidRPr="00DA4818" w:rsidSect="00132107">
      <w:head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F76" w:rsidRDefault="001B6F76" w:rsidP="003462BF">
      <w:pPr>
        <w:spacing w:before="0"/>
      </w:pPr>
      <w:r>
        <w:separator/>
      </w:r>
    </w:p>
  </w:endnote>
  <w:endnote w:type="continuationSeparator" w:id="0">
    <w:p w:rsidR="001B6F76" w:rsidRDefault="001B6F76" w:rsidP="003462B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F76" w:rsidRDefault="001B6F76" w:rsidP="003462BF">
      <w:pPr>
        <w:spacing w:before="0"/>
      </w:pPr>
      <w:r>
        <w:separator/>
      </w:r>
    </w:p>
  </w:footnote>
  <w:footnote w:type="continuationSeparator" w:id="0">
    <w:p w:rsidR="001B6F76" w:rsidRDefault="001B6F76" w:rsidP="003462BF">
      <w:pPr>
        <w:spacing w:before="0"/>
      </w:pPr>
      <w:r>
        <w:continuationSeparator/>
      </w:r>
    </w:p>
  </w:footnote>
  <w:footnote w:id="1">
    <w:p w:rsidR="00B20566" w:rsidRDefault="00B20566" w:rsidP="00E4581C">
      <w:pPr>
        <w:pStyle w:val="FootnoteText"/>
        <w:ind w:firstLine="0"/>
      </w:pPr>
      <w:r>
        <w:rPr>
          <w:rStyle w:val="FootnoteReference"/>
        </w:rPr>
        <w:footnoteRef/>
      </w:r>
      <w:r>
        <w:t xml:space="preserve"> Khoản 2 Điều 32 Luật lực lượng tham gia bảo vệ an ninh trật tự ở cơ sở “2. Bổ sung điểm c vào sau điểm b khoản 4 Điều 12 của Luật Bảo hiểm y tế số 25/2008/QH12 đã được sửa đổi, bổ sung một số điều theo Luật số 32/2013/QH13, Luật số 46/2014/QH13, Luật số 97/2015/QH13, Luật số 35/2018/QH14 và Luật số 68/2020/QH14 như sau:</w:t>
      </w:r>
    </w:p>
    <w:p w:rsidR="00B20566" w:rsidRDefault="00B20566" w:rsidP="00E4581C">
      <w:pPr>
        <w:pStyle w:val="FootnoteText"/>
        <w:ind w:firstLine="0"/>
      </w:pPr>
      <w:r>
        <w:t>“c) Người tham gia lực lượng tham gia bảo vệ an ninh, trật tự ở cơ sở.”.”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570437"/>
      <w:docPartObj>
        <w:docPartGallery w:val="Page Numbers (Top of Page)"/>
        <w:docPartUnique/>
      </w:docPartObj>
    </w:sdtPr>
    <w:sdtEndPr>
      <w:rPr>
        <w:noProof/>
      </w:rPr>
    </w:sdtEndPr>
    <w:sdtContent>
      <w:p w:rsidR="00703DC4" w:rsidRDefault="00703DC4" w:rsidP="00A61E2C">
        <w:pPr>
          <w:pStyle w:val="Header"/>
          <w:jc w:val="center"/>
        </w:pPr>
        <w:r w:rsidRPr="00F46EAE">
          <w:rPr>
            <w:sz w:val="24"/>
            <w:szCs w:val="24"/>
          </w:rPr>
          <w:fldChar w:fldCharType="begin"/>
        </w:r>
        <w:r w:rsidRPr="00F46EAE">
          <w:rPr>
            <w:sz w:val="24"/>
            <w:szCs w:val="24"/>
          </w:rPr>
          <w:instrText xml:space="preserve"> PAGE   \* MERGEFORMAT </w:instrText>
        </w:r>
        <w:r w:rsidRPr="00F46EAE">
          <w:rPr>
            <w:sz w:val="24"/>
            <w:szCs w:val="24"/>
          </w:rPr>
          <w:fldChar w:fldCharType="separate"/>
        </w:r>
        <w:r>
          <w:rPr>
            <w:noProof/>
            <w:sz w:val="24"/>
            <w:szCs w:val="24"/>
          </w:rPr>
          <w:t>4</w:t>
        </w:r>
        <w:r w:rsidRPr="00F46EAE">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30450"/>
    <w:multiLevelType w:val="hybridMultilevel"/>
    <w:tmpl w:val="27FE8F5E"/>
    <w:lvl w:ilvl="0" w:tplc="63AE6146">
      <w:start w:val="1"/>
      <w:numFmt w:val="decimal"/>
      <w:lvlText w:val="%1."/>
      <w:lvlJc w:val="left"/>
      <w:pPr>
        <w:ind w:left="6042" w:hanging="360"/>
      </w:pPr>
      <w:rPr>
        <w:rFonts w:hint="default"/>
      </w:rPr>
    </w:lvl>
    <w:lvl w:ilvl="1" w:tplc="04090019" w:tentative="1">
      <w:start w:val="1"/>
      <w:numFmt w:val="lowerLetter"/>
      <w:lvlText w:val="%2."/>
      <w:lvlJc w:val="left"/>
      <w:pPr>
        <w:ind w:left="6762" w:hanging="360"/>
      </w:pPr>
    </w:lvl>
    <w:lvl w:ilvl="2" w:tplc="0409001B" w:tentative="1">
      <w:start w:val="1"/>
      <w:numFmt w:val="lowerRoman"/>
      <w:lvlText w:val="%3."/>
      <w:lvlJc w:val="right"/>
      <w:pPr>
        <w:ind w:left="7482" w:hanging="180"/>
      </w:pPr>
    </w:lvl>
    <w:lvl w:ilvl="3" w:tplc="0409000F" w:tentative="1">
      <w:start w:val="1"/>
      <w:numFmt w:val="decimal"/>
      <w:lvlText w:val="%4."/>
      <w:lvlJc w:val="left"/>
      <w:pPr>
        <w:ind w:left="8202" w:hanging="360"/>
      </w:pPr>
    </w:lvl>
    <w:lvl w:ilvl="4" w:tplc="04090019" w:tentative="1">
      <w:start w:val="1"/>
      <w:numFmt w:val="lowerLetter"/>
      <w:lvlText w:val="%5."/>
      <w:lvlJc w:val="left"/>
      <w:pPr>
        <w:ind w:left="8922" w:hanging="360"/>
      </w:pPr>
    </w:lvl>
    <w:lvl w:ilvl="5" w:tplc="0409001B" w:tentative="1">
      <w:start w:val="1"/>
      <w:numFmt w:val="lowerRoman"/>
      <w:lvlText w:val="%6."/>
      <w:lvlJc w:val="right"/>
      <w:pPr>
        <w:ind w:left="9642" w:hanging="180"/>
      </w:pPr>
    </w:lvl>
    <w:lvl w:ilvl="6" w:tplc="0409000F" w:tentative="1">
      <w:start w:val="1"/>
      <w:numFmt w:val="decimal"/>
      <w:lvlText w:val="%7."/>
      <w:lvlJc w:val="left"/>
      <w:pPr>
        <w:ind w:left="10362" w:hanging="360"/>
      </w:pPr>
    </w:lvl>
    <w:lvl w:ilvl="7" w:tplc="04090019" w:tentative="1">
      <w:start w:val="1"/>
      <w:numFmt w:val="lowerLetter"/>
      <w:lvlText w:val="%8."/>
      <w:lvlJc w:val="left"/>
      <w:pPr>
        <w:ind w:left="11082" w:hanging="360"/>
      </w:pPr>
    </w:lvl>
    <w:lvl w:ilvl="8" w:tplc="0409001B" w:tentative="1">
      <w:start w:val="1"/>
      <w:numFmt w:val="lowerRoman"/>
      <w:lvlText w:val="%9."/>
      <w:lvlJc w:val="right"/>
      <w:pPr>
        <w:ind w:left="1180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BF"/>
    <w:rsid w:val="000013F5"/>
    <w:rsid w:val="000123D2"/>
    <w:rsid w:val="00014B62"/>
    <w:rsid w:val="00022426"/>
    <w:rsid w:val="0002709B"/>
    <w:rsid w:val="0003203E"/>
    <w:rsid w:val="000361E8"/>
    <w:rsid w:val="00043443"/>
    <w:rsid w:val="00044161"/>
    <w:rsid w:val="000469C1"/>
    <w:rsid w:val="00051AED"/>
    <w:rsid w:val="00053B2F"/>
    <w:rsid w:val="000679E4"/>
    <w:rsid w:val="00094E5A"/>
    <w:rsid w:val="000C41E5"/>
    <w:rsid w:val="000D05B5"/>
    <w:rsid w:val="000D298A"/>
    <w:rsid w:val="000D34DE"/>
    <w:rsid w:val="000D6D25"/>
    <w:rsid w:val="000E00E4"/>
    <w:rsid w:val="000E15DC"/>
    <w:rsid w:val="000E4501"/>
    <w:rsid w:val="000E4A43"/>
    <w:rsid w:val="000F3FDF"/>
    <w:rsid w:val="00112EF4"/>
    <w:rsid w:val="00132107"/>
    <w:rsid w:val="00132D87"/>
    <w:rsid w:val="00133C57"/>
    <w:rsid w:val="00135B09"/>
    <w:rsid w:val="0014369D"/>
    <w:rsid w:val="001473A8"/>
    <w:rsid w:val="00151640"/>
    <w:rsid w:val="00163064"/>
    <w:rsid w:val="00163494"/>
    <w:rsid w:val="0017222C"/>
    <w:rsid w:val="001824A8"/>
    <w:rsid w:val="001900AC"/>
    <w:rsid w:val="001A4965"/>
    <w:rsid w:val="001B0665"/>
    <w:rsid w:val="001B6F76"/>
    <w:rsid w:val="001C157D"/>
    <w:rsid w:val="001C463A"/>
    <w:rsid w:val="001D4E3A"/>
    <w:rsid w:val="001D584D"/>
    <w:rsid w:val="001E0837"/>
    <w:rsid w:val="001E1B92"/>
    <w:rsid w:val="001E73F3"/>
    <w:rsid w:val="001F0A24"/>
    <w:rsid w:val="001F5003"/>
    <w:rsid w:val="00200118"/>
    <w:rsid w:val="00211730"/>
    <w:rsid w:val="00212FB2"/>
    <w:rsid w:val="0022104A"/>
    <w:rsid w:val="00222EBC"/>
    <w:rsid w:val="0023497D"/>
    <w:rsid w:val="00234BED"/>
    <w:rsid w:val="00241421"/>
    <w:rsid w:val="00241CAD"/>
    <w:rsid w:val="00244230"/>
    <w:rsid w:val="00250175"/>
    <w:rsid w:val="002533C2"/>
    <w:rsid w:val="002612E1"/>
    <w:rsid w:val="00277FC7"/>
    <w:rsid w:val="002B2786"/>
    <w:rsid w:val="002C0F45"/>
    <w:rsid w:val="002C32A9"/>
    <w:rsid w:val="002D0389"/>
    <w:rsid w:val="002E14CC"/>
    <w:rsid w:val="002E2737"/>
    <w:rsid w:val="002E4608"/>
    <w:rsid w:val="002F30EF"/>
    <w:rsid w:val="003001D4"/>
    <w:rsid w:val="0031777E"/>
    <w:rsid w:val="003327B5"/>
    <w:rsid w:val="00341582"/>
    <w:rsid w:val="003462BF"/>
    <w:rsid w:val="00363626"/>
    <w:rsid w:val="003752C7"/>
    <w:rsid w:val="0038566F"/>
    <w:rsid w:val="0038694B"/>
    <w:rsid w:val="00392CC1"/>
    <w:rsid w:val="003A34E4"/>
    <w:rsid w:val="003A3D73"/>
    <w:rsid w:val="003B5830"/>
    <w:rsid w:val="003C3EAF"/>
    <w:rsid w:val="003F6D0A"/>
    <w:rsid w:val="003F746E"/>
    <w:rsid w:val="00404741"/>
    <w:rsid w:val="00420778"/>
    <w:rsid w:val="0043001F"/>
    <w:rsid w:val="004322D4"/>
    <w:rsid w:val="00433A9A"/>
    <w:rsid w:val="00442B6F"/>
    <w:rsid w:val="00445548"/>
    <w:rsid w:val="0045453B"/>
    <w:rsid w:val="00480414"/>
    <w:rsid w:val="00481505"/>
    <w:rsid w:val="00484113"/>
    <w:rsid w:val="00484398"/>
    <w:rsid w:val="00491A77"/>
    <w:rsid w:val="004A6145"/>
    <w:rsid w:val="004A62D3"/>
    <w:rsid w:val="004A669E"/>
    <w:rsid w:val="004C1D0B"/>
    <w:rsid w:val="004C487F"/>
    <w:rsid w:val="004C5F05"/>
    <w:rsid w:val="004D3777"/>
    <w:rsid w:val="004E70A5"/>
    <w:rsid w:val="00500267"/>
    <w:rsid w:val="0050064D"/>
    <w:rsid w:val="0051616A"/>
    <w:rsid w:val="00543B14"/>
    <w:rsid w:val="00552BC7"/>
    <w:rsid w:val="00562DE1"/>
    <w:rsid w:val="00574485"/>
    <w:rsid w:val="0058010A"/>
    <w:rsid w:val="005847A1"/>
    <w:rsid w:val="00587B6D"/>
    <w:rsid w:val="0059000B"/>
    <w:rsid w:val="00592DF4"/>
    <w:rsid w:val="0059400E"/>
    <w:rsid w:val="0059616A"/>
    <w:rsid w:val="005A06A5"/>
    <w:rsid w:val="005A59C4"/>
    <w:rsid w:val="005B5762"/>
    <w:rsid w:val="005B5D81"/>
    <w:rsid w:val="005B7223"/>
    <w:rsid w:val="005C7ACF"/>
    <w:rsid w:val="005D022F"/>
    <w:rsid w:val="005D3DAC"/>
    <w:rsid w:val="005F071F"/>
    <w:rsid w:val="005F1198"/>
    <w:rsid w:val="005F4BEC"/>
    <w:rsid w:val="00604859"/>
    <w:rsid w:val="00610893"/>
    <w:rsid w:val="00613379"/>
    <w:rsid w:val="00622CE8"/>
    <w:rsid w:val="0063692C"/>
    <w:rsid w:val="006509A8"/>
    <w:rsid w:val="00673326"/>
    <w:rsid w:val="00682353"/>
    <w:rsid w:val="00687AC0"/>
    <w:rsid w:val="006C3162"/>
    <w:rsid w:val="006D43F6"/>
    <w:rsid w:val="006D6EF5"/>
    <w:rsid w:val="006E03B0"/>
    <w:rsid w:val="006E4E7A"/>
    <w:rsid w:val="006F35B2"/>
    <w:rsid w:val="00702028"/>
    <w:rsid w:val="00703DC4"/>
    <w:rsid w:val="00705CF0"/>
    <w:rsid w:val="00717ABB"/>
    <w:rsid w:val="0072785A"/>
    <w:rsid w:val="00727AC1"/>
    <w:rsid w:val="00730E60"/>
    <w:rsid w:val="00733C72"/>
    <w:rsid w:val="0073654A"/>
    <w:rsid w:val="0074015C"/>
    <w:rsid w:val="007408D5"/>
    <w:rsid w:val="00750B02"/>
    <w:rsid w:val="00756826"/>
    <w:rsid w:val="007912A2"/>
    <w:rsid w:val="00796F66"/>
    <w:rsid w:val="007A0EEC"/>
    <w:rsid w:val="007A22E3"/>
    <w:rsid w:val="007A5128"/>
    <w:rsid w:val="007C446D"/>
    <w:rsid w:val="007C4A4A"/>
    <w:rsid w:val="007C58C4"/>
    <w:rsid w:val="007C5DA1"/>
    <w:rsid w:val="007D4DFE"/>
    <w:rsid w:val="007D6D78"/>
    <w:rsid w:val="007E06AC"/>
    <w:rsid w:val="007E3DD1"/>
    <w:rsid w:val="007F434C"/>
    <w:rsid w:val="007F690F"/>
    <w:rsid w:val="008015C7"/>
    <w:rsid w:val="008168F5"/>
    <w:rsid w:val="00831AED"/>
    <w:rsid w:val="008332F6"/>
    <w:rsid w:val="0084067B"/>
    <w:rsid w:val="00860A2D"/>
    <w:rsid w:val="008659F4"/>
    <w:rsid w:val="00865E5B"/>
    <w:rsid w:val="008725DC"/>
    <w:rsid w:val="00882289"/>
    <w:rsid w:val="008A0611"/>
    <w:rsid w:val="008A44F9"/>
    <w:rsid w:val="008C2EC0"/>
    <w:rsid w:val="008D42EF"/>
    <w:rsid w:val="008F18E6"/>
    <w:rsid w:val="0090162A"/>
    <w:rsid w:val="0090241D"/>
    <w:rsid w:val="00903C29"/>
    <w:rsid w:val="00931CB3"/>
    <w:rsid w:val="00940265"/>
    <w:rsid w:val="0094168E"/>
    <w:rsid w:val="00950B1D"/>
    <w:rsid w:val="009540EA"/>
    <w:rsid w:val="00974C01"/>
    <w:rsid w:val="00980994"/>
    <w:rsid w:val="009809AA"/>
    <w:rsid w:val="00982C53"/>
    <w:rsid w:val="0098510A"/>
    <w:rsid w:val="009A0C95"/>
    <w:rsid w:val="009A4A9E"/>
    <w:rsid w:val="009A56D6"/>
    <w:rsid w:val="009A7D19"/>
    <w:rsid w:val="009C4C4F"/>
    <w:rsid w:val="009D2090"/>
    <w:rsid w:val="009D251E"/>
    <w:rsid w:val="009D4766"/>
    <w:rsid w:val="009F40DB"/>
    <w:rsid w:val="009F4CDD"/>
    <w:rsid w:val="00A04518"/>
    <w:rsid w:val="00A0719F"/>
    <w:rsid w:val="00A07C3E"/>
    <w:rsid w:val="00A17FD1"/>
    <w:rsid w:val="00A23A7B"/>
    <w:rsid w:val="00A34737"/>
    <w:rsid w:val="00A42468"/>
    <w:rsid w:val="00A50320"/>
    <w:rsid w:val="00A61E2C"/>
    <w:rsid w:val="00A64016"/>
    <w:rsid w:val="00A77C17"/>
    <w:rsid w:val="00A80702"/>
    <w:rsid w:val="00AB35FB"/>
    <w:rsid w:val="00AB3F2C"/>
    <w:rsid w:val="00AC1307"/>
    <w:rsid w:val="00AC45DA"/>
    <w:rsid w:val="00AD5FD4"/>
    <w:rsid w:val="00AF3058"/>
    <w:rsid w:val="00B058F1"/>
    <w:rsid w:val="00B11A62"/>
    <w:rsid w:val="00B20566"/>
    <w:rsid w:val="00B22CB7"/>
    <w:rsid w:val="00B24BD0"/>
    <w:rsid w:val="00B25C42"/>
    <w:rsid w:val="00B37A86"/>
    <w:rsid w:val="00B4137C"/>
    <w:rsid w:val="00B57F5A"/>
    <w:rsid w:val="00B65DE1"/>
    <w:rsid w:val="00B737A6"/>
    <w:rsid w:val="00B82FE6"/>
    <w:rsid w:val="00B91121"/>
    <w:rsid w:val="00B93640"/>
    <w:rsid w:val="00B95C14"/>
    <w:rsid w:val="00BB073C"/>
    <w:rsid w:val="00BB64D5"/>
    <w:rsid w:val="00BB7064"/>
    <w:rsid w:val="00BC27FD"/>
    <w:rsid w:val="00BC2AA6"/>
    <w:rsid w:val="00BC4B64"/>
    <w:rsid w:val="00BC7E72"/>
    <w:rsid w:val="00BD73B1"/>
    <w:rsid w:val="00BE0807"/>
    <w:rsid w:val="00BF480E"/>
    <w:rsid w:val="00BF5946"/>
    <w:rsid w:val="00C0088D"/>
    <w:rsid w:val="00C01452"/>
    <w:rsid w:val="00C1071F"/>
    <w:rsid w:val="00C16F8E"/>
    <w:rsid w:val="00C16FEA"/>
    <w:rsid w:val="00C17EE3"/>
    <w:rsid w:val="00C20A2E"/>
    <w:rsid w:val="00C20F8C"/>
    <w:rsid w:val="00C26548"/>
    <w:rsid w:val="00C26D37"/>
    <w:rsid w:val="00C37B29"/>
    <w:rsid w:val="00C42DF1"/>
    <w:rsid w:val="00C50071"/>
    <w:rsid w:val="00C535D1"/>
    <w:rsid w:val="00C54B52"/>
    <w:rsid w:val="00C5590F"/>
    <w:rsid w:val="00C56BF3"/>
    <w:rsid w:val="00C60B7B"/>
    <w:rsid w:val="00C62940"/>
    <w:rsid w:val="00C675D6"/>
    <w:rsid w:val="00C9538B"/>
    <w:rsid w:val="00CA234B"/>
    <w:rsid w:val="00CB6A91"/>
    <w:rsid w:val="00CB77AB"/>
    <w:rsid w:val="00CC4207"/>
    <w:rsid w:val="00CE5AFC"/>
    <w:rsid w:val="00CE67AF"/>
    <w:rsid w:val="00CF4291"/>
    <w:rsid w:val="00CF64DC"/>
    <w:rsid w:val="00D0280F"/>
    <w:rsid w:val="00D06022"/>
    <w:rsid w:val="00D1646C"/>
    <w:rsid w:val="00D21882"/>
    <w:rsid w:val="00D33E31"/>
    <w:rsid w:val="00D617E5"/>
    <w:rsid w:val="00D70364"/>
    <w:rsid w:val="00D81DFB"/>
    <w:rsid w:val="00D869B1"/>
    <w:rsid w:val="00D91395"/>
    <w:rsid w:val="00D91A4E"/>
    <w:rsid w:val="00D96257"/>
    <w:rsid w:val="00DA4818"/>
    <w:rsid w:val="00DA4FA4"/>
    <w:rsid w:val="00DB28DC"/>
    <w:rsid w:val="00DC25BF"/>
    <w:rsid w:val="00DD1348"/>
    <w:rsid w:val="00DD1A76"/>
    <w:rsid w:val="00DE10B7"/>
    <w:rsid w:val="00E0166B"/>
    <w:rsid w:val="00E05AAD"/>
    <w:rsid w:val="00E05C93"/>
    <w:rsid w:val="00E128E9"/>
    <w:rsid w:val="00E12E12"/>
    <w:rsid w:val="00E1655E"/>
    <w:rsid w:val="00E36AA5"/>
    <w:rsid w:val="00E4581C"/>
    <w:rsid w:val="00E7200E"/>
    <w:rsid w:val="00E746C7"/>
    <w:rsid w:val="00E879E0"/>
    <w:rsid w:val="00E922EC"/>
    <w:rsid w:val="00E96688"/>
    <w:rsid w:val="00EA1627"/>
    <w:rsid w:val="00EA5400"/>
    <w:rsid w:val="00EA7BA4"/>
    <w:rsid w:val="00EB10F9"/>
    <w:rsid w:val="00EB40EE"/>
    <w:rsid w:val="00EB634A"/>
    <w:rsid w:val="00ED18D0"/>
    <w:rsid w:val="00ED309D"/>
    <w:rsid w:val="00EF1314"/>
    <w:rsid w:val="00EF6079"/>
    <w:rsid w:val="00F04C8A"/>
    <w:rsid w:val="00F10D46"/>
    <w:rsid w:val="00F20381"/>
    <w:rsid w:val="00F24AF5"/>
    <w:rsid w:val="00F268A3"/>
    <w:rsid w:val="00F42678"/>
    <w:rsid w:val="00F4577D"/>
    <w:rsid w:val="00F46EAE"/>
    <w:rsid w:val="00F503B0"/>
    <w:rsid w:val="00F507F4"/>
    <w:rsid w:val="00F57EAB"/>
    <w:rsid w:val="00F61BDB"/>
    <w:rsid w:val="00F61ECB"/>
    <w:rsid w:val="00F762B5"/>
    <w:rsid w:val="00F81323"/>
    <w:rsid w:val="00F9062F"/>
    <w:rsid w:val="00F90BC4"/>
    <w:rsid w:val="00FB5C7C"/>
    <w:rsid w:val="00FC185E"/>
    <w:rsid w:val="00FD09C9"/>
    <w:rsid w:val="00FD10AE"/>
    <w:rsid w:val="00FD45D5"/>
    <w:rsid w:val="00FD5ACA"/>
    <w:rsid w:val="00FE33B7"/>
    <w:rsid w:val="00FE5144"/>
    <w:rsid w:val="00FF050A"/>
    <w:rsid w:val="00FF1690"/>
    <w:rsid w:val="00FF70CF"/>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2841"/>
  <w15:chartTrackingRefBased/>
  <w15:docId w15:val="{B24D8671-1FB5-4299-85F5-2D01F519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69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62BF"/>
    <w:pPr>
      <w:spacing w:before="0"/>
    </w:pPr>
    <w:rPr>
      <w:sz w:val="20"/>
      <w:szCs w:val="20"/>
    </w:rPr>
  </w:style>
  <w:style w:type="character" w:customStyle="1" w:styleId="FootnoteTextChar">
    <w:name w:val="Footnote Text Char"/>
    <w:basedOn w:val="DefaultParagraphFont"/>
    <w:link w:val="FootnoteText"/>
    <w:uiPriority w:val="99"/>
    <w:semiHidden/>
    <w:rsid w:val="003462BF"/>
    <w:rPr>
      <w:rFonts w:ascii="Times New Roman" w:hAnsi="Times New Roman"/>
      <w:sz w:val="20"/>
      <w:szCs w:val="20"/>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10,R"/>
    <w:link w:val="FootnotetextChar1"/>
    <w:uiPriority w:val="99"/>
    <w:unhideWhenUsed/>
    <w:qFormat/>
    <w:rsid w:val="003462BF"/>
    <w:rPr>
      <w:vertAlign w:val="superscript"/>
    </w:rPr>
  </w:style>
  <w:style w:type="paragraph" w:customStyle="1" w:styleId="FootnotetextChar1">
    <w:name w:val="Footnote text Char1"/>
    <w:basedOn w:val="Normal"/>
    <w:link w:val="FootnoteReference"/>
    <w:uiPriority w:val="99"/>
    <w:rsid w:val="003462BF"/>
    <w:pPr>
      <w:spacing w:before="0" w:after="160" w:line="240" w:lineRule="exact"/>
      <w:ind w:firstLine="0"/>
      <w:jc w:val="left"/>
    </w:pPr>
    <w:rPr>
      <w:rFonts w:asciiTheme="minorHAnsi" w:hAnsiTheme="minorHAnsi"/>
      <w:sz w:val="22"/>
      <w:vertAlign w:val="superscript"/>
    </w:rPr>
  </w:style>
  <w:style w:type="paragraph" w:styleId="ListParagraph">
    <w:name w:val="List Paragraph"/>
    <w:basedOn w:val="Normal"/>
    <w:uiPriority w:val="34"/>
    <w:qFormat/>
    <w:rsid w:val="00B37A86"/>
    <w:pPr>
      <w:ind w:left="720"/>
      <w:contextualSpacing/>
    </w:pPr>
  </w:style>
  <w:style w:type="paragraph" w:styleId="Header">
    <w:name w:val="header"/>
    <w:basedOn w:val="Normal"/>
    <w:link w:val="HeaderChar"/>
    <w:uiPriority w:val="99"/>
    <w:unhideWhenUsed/>
    <w:rsid w:val="00F46EAE"/>
    <w:pPr>
      <w:tabs>
        <w:tab w:val="center" w:pos="4680"/>
        <w:tab w:val="right" w:pos="9360"/>
      </w:tabs>
      <w:spacing w:before="0"/>
    </w:pPr>
  </w:style>
  <w:style w:type="character" w:customStyle="1" w:styleId="HeaderChar">
    <w:name w:val="Header Char"/>
    <w:basedOn w:val="DefaultParagraphFont"/>
    <w:link w:val="Header"/>
    <w:uiPriority w:val="99"/>
    <w:rsid w:val="00F46EAE"/>
    <w:rPr>
      <w:rFonts w:ascii="Times New Roman" w:hAnsi="Times New Roman"/>
      <w:sz w:val="28"/>
    </w:rPr>
  </w:style>
  <w:style w:type="paragraph" w:styleId="Footer">
    <w:name w:val="footer"/>
    <w:basedOn w:val="Normal"/>
    <w:link w:val="FooterChar"/>
    <w:uiPriority w:val="99"/>
    <w:unhideWhenUsed/>
    <w:rsid w:val="00F46EAE"/>
    <w:pPr>
      <w:tabs>
        <w:tab w:val="center" w:pos="4680"/>
        <w:tab w:val="right" w:pos="9360"/>
      </w:tabs>
      <w:spacing w:before="0"/>
    </w:pPr>
  </w:style>
  <w:style w:type="character" w:customStyle="1" w:styleId="FooterChar">
    <w:name w:val="Footer Char"/>
    <w:basedOn w:val="DefaultParagraphFont"/>
    <w:link w:val="Footer"/>
    <w:uiPriority w:val="99"/>
    <w:rsid w:val="00F46EAE"/>
    <w:rPr>
      <w:rFonts w:ascii="Times New Roman" w:hAnsi="Times New Roman"/>
      <w:sz w:val="28"/>
    </w:rPr>
  </w:style>
  <w:style w:type="paragraph" w:styleId="BalloonText">
    <w:name w:val="Balloon Text"/>
    <w:basedOn w:val="Normal"/>
    <w:link w:val="BalloonTextChar"/>
    <w:uiPriority w:val="99"/>
    <w:semiHidden/>
    <w:unhideWhenUsed/>
    <w:rsid w:val="00A61E2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E2C"/>
    <w:rPr>
      <w:rFonts w:ascii="Segoe UI" w:hAnsi="Segoe UI" w:cs="Segoe UI"/>
      <w:sz w:val="18"/>
      <w:szCs w:val="18"/>
    </w:rPr>
  </w:style>
  <w:style w:type="paragraph" w:customStyle="1" w:styleId="Normal1">
    <w:name w:val="Normal1"/>
    <w:rsid w:val="006C3162"/>
    <w:pPr>
      <w:spacing w:before="0" w:line="276" w:lineRule="auto"/>
      <w:ind w:firstLine="0"/>
      <w:jc w:val="left"/>
    </w:pPr>
    <w:rPr>
      <w:rFonts w:ascii="Arial" w:eastAsia="Arial"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13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C4C95-2DB1-456A-96BB-63B476210EFB}">
  <ds:schemaRefs>
    <ds:schemaRef ds:uri="http://schemas.openxmlformats.org/officeDocument/2006/bibliography"/>
  </ds:schemaRefs>
</ds:datastoreItem>
</file>

<file path=customXml/itemProps2.xml><?xml version="1.0" encoding="utf-8"?>
<ds:datastoreItem xmlns:ds="http://schemas.openxmlformats.org/officeDocument/2006/customXml" ds:itemID="{88118982-A53C-45AE-9EA5-B5CEBE39EB42}"/>
</file>

<file path=customXml/itemProps3.xml><?xml version="1.0" encoding="utf-8"?>
<ds:datastoreItem xmlns:ds="http://schemas.openxmlformats.org/officeDocument/2006/customXml" ds:itemID="{EF141BBC-C639-4463-8C50-FAFCB79D4AF7}"/>
</file>

<file path=customXml/itemProps4.xml><?xml version="1.0" encoding="utf-8"?>
<ds:datastoreItem xmlns:ds="http://schemas.openxmlformats.org/officeDocument/2006/customXml" ds:itemID="{A465AFC6-6286-4E12-88D8-21D9BB851974}"/>
</file>

<file path=docProps/app.xml><?xml version="1.0" encoding="utf-8"?>
<Properties xmlns="http://schemas.openxmlformats.org/officeDocument/2006/extended-properties" xmlns:vt="http://schemas.openxmlformats.org/officeDocument/2006/docPropsVTypes">
  <Template>Normal.dotm</Template>
  <TotalTime>2</TotalTime>
  <Pages>4</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Huong Giang(VD)</dc:creator>
  <cp:keywords/>
  <dc:description/>
  <cp:lastModifiedBy>admin</cp:lastModifiedBy>
  <cp:revision>5</cp:revision>
  <cp:lastPrinted>2024-11-14T12:36:00Z</cp:lastPrinted>
  <dcterms:created xsi:type="dcterms:W3CDTF">2024-11-14T12:52:00Z</dcterms:created>
  <dcterms:modified xsi:type="dcterms:W3CDTF">2024-11-14T14:41:00Z</dcterms:modified>
</cp:coreProperties>
</file>